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ATAS/824/2019 vom 9. September 2019</w:t>
      </w:r>
    </w:p>
    <w:p>
      <w:r>
        <w:t>GE Cour de justice, 2019-09-09, FR</w:t>
      </w:r>
    </w:p>
    <w:p>
      <w:r>
        <w:rPr>
          <w:b/>
        </w:rPr>
        <w:t xml:space="preserve">Quelle: </w:t>
      </w:r>
      <w:r>
        <w:t>https://mcp.opencaselaw.ch/entscheid/ge_gerichte_ATAS_824_2019</w:t>
      </w:r>
    </w:p>
    <w:p>
      <w:r>
        <w:t>FR: GE_GERICHTE ATAS/824/2019 du 9 septembre 2019</w:t>
      </w:r>
    </w:p>
    <w:p>
      <w:r>
        <w:t>IT: GE_GERICHTE ATAS/824/2019 del 9 settembre 2019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A/2303/2019 ATAS/824/2019 COUR DE JUSTICE Chambre des assurances sociales Arrêt du 9 septembre 2019 10ème Chambre</w:t>
      </w:r>
    </w:p>
    <w:p>
      <w:r>
        <w:t>En la cause Monsieur A______, domicilié à GENÈVE</w:t>
      </w:r>
    </w:p>
    <w:p>
      <w:r>
        <w:t>demandeur</w:t>
      </w:r>
    </w:p>
    <w:p>
      <w:r>
        <w:t>contre MUTUEL ASSURANCES SA, Service juridique, sis rue des Cèdres 5, MARTIGNY</w:t>
      </w:r>
    </w:p>
    <w:p>
      <w:r>
        <w:t>défenderesse</w:t>
      </w:r>
    </w:p>
    <w:p>
      <w:r>
        <w:t>A/2303/2019 - 2/2 - Vu la demande en paiement du 12 juin 2019 déposée par Monsieur A______ (ci-après : l’assuré ou le demandeur) à l’encontre de MUTUEL ASSURANCES SA (ci-après : l’assurance ou la défenderesse), réclamant à celle-ci la prise en charge de frais de cure de thalassothérapie ; Vu la réponse de la défenderesse du 5 août 2019 concluant au rejet de la demande ; Vu le courrier de la chambre de céans au demandeur du 28 août 2019 ; Vu la réponse du demandeur au courrier ci-dessus indiquant à la chambre de céans, le 30 août 2019, qu'il retirait sa demande 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 ; Que la compétence de la chambre de céans à raison de la matière pour juger du cas d’espèce est ainsi établie ; Que dans le cas d'espèce, le demandeur, par courrier du 30 août 2019, retire sa demande ; Qu'il convient ainsi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