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ATAS/824/2018 vom 20. September 2018</w:t>
      </w:r>
    </w:p>
    <w:p>
      <w:r>
        <w:t>GE Cour de justice, 2018-09-20, FR</w:t>
      </w:r>
    </w:p>
    <w:p>
      <w:r>
        <w:rPr>
          <w:b/>
        </w:rPr>
        <w:t xml:space="preserve">Quelle: </w:t>
      </w:r>
      <w:r>
        <w:t>https://mcp.opencaselaw.ch/entscheid/ge_gerichte_ATAS_824_2018</w:t>
      </w:r>
    </w:p>
    <w:p>
      <w:r>
        <w:t>FR: GE_GERICHTE ATAS/824/2018 du 20 septembre 2018</w:t>
      </w:r>
    </w:p>
    <w:p>
      <w:r>
        <w:t>IT: GE_GERICHTE ATAS/824/2018 del 20 settembre 2018</w:t>
      </w:r>
    </w:p>
    <w:p>
      <w:pPr>
        <w:pStyle w:val="Heading2"/>
      </w:pPr>
      <w:r>
        <w:t>Erwägungen</w:t>
      </w:r>
    </w:p>
    <w:p>
      <w:r>
        <w:rPr>
          <w:b/>
        </w:rPr>
        <w:t>E. 12</w:t>
      </w:r>
    </w:p>
    <w:p>
      <w:r>
        <w:t>Le 7 juin 2018, la caisse s’est opposée à toute suspension de la procédure, considérant que le dommage subi était évident et d’ores et déjà avéré. Elle a constaté qu’en effet un montant de CHF 651’390.48 avait déjà été encaissé par l’office des faillites et que le total des créances admises en première classe pourrait effectivement être couvert dans le cadre de la liquidation, pour autant que le résultat du procès intenté contre la BCGE soit favorable, mais a rappelé que les créances qui font l’objet de la présente procédure étaient, pour leur part, colloquées en 2ème et en 3ème classe exclusivement, de sorte qu’elles ne seraient manifestement pas couvertes par le montant déjà encaissé, ou à encaisser, par l’office des faillites.</w:t>
      </w:r>
    </w:p>
    <w:p>
      <w:r>
        <w:rPr>
          <w:b/>
        </w:rPr>
        <w:t>E. 13</w:t>
      </w:r>
    </w:p>
    <w:p>
      <w:r>
        <w:t>Le 13 juin 2018, M. B______ a à son tour sollicité la suspension de la procédure jusqu’à la clôture de la procédure de faillite, et également jusqu’à droit connu dans la procédure pénale P/16631/2014.</w:t>
      </w:r>
    </w:p>
    <w:p>
      <w:r>
        <w:rPr>
          <w:b/>
        </w:rPr>
        <w:t>E. 14</w:t>
      </w:r>
    </w:p>
    <w:p>
      <w:r>
        <w:t>Le 12 juillet 2018, la caisse a persisté à s’opposer à la suspension de la procédure. Elle relève plus particulièrement qu’en l’occurrence, « les administrateurs n’ont eu</w:t>
      </w:r>
    </w:p>
    <w:p>
      <w:r>
        <w:t>A/4204/2016 - 4/7 - de cesse de vider la société de sa substance en utilisant les fonds à disposition pour leurs propres besoins personnels ou ceux de leurs sociétés (cf. pièce 52bis) ».</w:t>
      </w:r>
    </w:p>
    <w:p>
      <w:r>
        <w:rPr>
          <w:b/>
        </w:rPr>
        <w:t>E. 15</w:t>
      </w:r>
    </w:p>
    <w:p>
      <w:r>
        <w:t>À la même date, M. C______ s’est rallié aux arguments et aux conclusions de MM. A______ et B______ quant à leur demande de suspension. Le 17 juillet 2018, il a communiqué à la chambre de céans un chargé de pièces complémentaires.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Les recours, interjetés en temps utile, sont recevables (art. 56ss LPGA). 3. Le litige porte sur le droit de la caisse de réclamer aux recourants la réparation du dommage subi en raison du non-paiement des cotisations AVS-AI dues par la société. 4. Les recourants ont, préalablement, sollicité la suspension de la présente procédure jusqu’à la clôture de la faillite. Ils considèrent en effet qu’il n’est pas établi que la caisse subira un dommage. 5. 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6. Le dommage est survenu dès que le montant dû de par la loi ne peut plus être recouvré pour des raisons juridiques ou de fait. Il en va ainsi lorsque la créance de cotisations est périmée par suite de prescription au sens de l’art. 16 al. 1 LAVS (voir les nos 5011 ss) ou lorsque l’employeur est insolvable (prononcé de la faillite ou délivrance d’un acte de défauts de biens) (Directives sur la perception des cotisations dans l’AVS, AI et APG (DP), n° 8020). Si le montant du dommage ne peut, à ce moment-là, pas être déterminé, même d’une manière approximative, le dividende de la faillite n’étant pas encore connu, la décision en réparation du dommage doit être établie de telle manière que les intéressés soient tenus de payer la totalité du montant dont la caisse a été privée, moyennant la cession d’un dividende éventuel (RCC 1987 608, RCC 1987 p. 607, ATF 113 V 180 ; RCC 1990 p. 415, ATF 116 V 72, RCC 1990 415, DP n° 8018).</w:t>
      </w:r>
    </w:p>
    <w:p>
      <w:r>
        <w:t>A/4204/2016 - 5/7 - 7. En l'espèce, selon l’état de collocation déposé le 5 avril 2016, le dividende prévisible pour les créances de 2ème et 3ème classe est nul. Or, les créances de cotisations font précisément partie des créances privilégiées de la 2ème classe (art. 219 al. 4 LP), et celles relatives aux intérêts et frais de poursuite à la 3ème classe. Il est ainsi vraisemblable que la caisse subira un dommage. Il n’est par ailleurs pas non plus certain qu’elles seront couvertes par le montant qui pourrait être encore encaissé par l’office des faillites. C’est dès lors à bon droit qu’elle s’en plaint d’ores et déjà. Il n’y a, partant, pas de sens, dans ces conditions, d’ordonner la suspension de la présente procédure jusqu’à la clôture de la faillite. 8. Les recourants ont également fait valoir qu’il serait opportun d’attendre l’issue de la procédure pénale P/16631/2014. En effet, celle-ci porte notamment sur la question du surendettement de la société et des mesures d’assainissement prises avant la faillite. Il en ressort en outre qu’au moment du prononcé de la faillite, l’office des faillites a informé l’avocat de la société « qu’ils ne pouvaient plus procéder à des versements à l’exception des charges courantes ». 9. Aux termes de l’art. 87 LAVS, « Celui qui, par des indications fausses ou incomplètes, ou de toute autre manière, aura obtenu, pour lui-même ou pour autrui, sur la base de la présente loi, une prestation qui ne lui revient pas, celui qui, par des indications fausses ou incomplètes, ou de toute autre manière, aura éludé, en tout ou en partie, l'obligation de payer des cotisations, celui qui, en sa qualité d'employeur, omet de s'affilier à une caisse de compensation et de décompter les salaires soumis à cotisation de ses salariés dans le délai fixé par le Conseil fédéral en vertu de l'art. 14, celui qui, en sa qualité d'employeur, aura versé à un salarié des salaires dont il aura déduit les cotisations et qui, au lieu de payer les cotisations salariales dues à la caisse de compensation, les aura utilisées pour lui-même ou pour régler d'autres créances, celui qui n'aura pas observé l'obligation de garder le secret ou aura, dans l'application de la présente loi, abusé de sa fonction en tant qu'organe ou que fonctionnaire ou employé au détriment de tiers ou pour son propre profit, celui qui aura manqué à son obligation de communiquer (art. 31 al. 1 LPGA), celui qui, en sa qualité de réviseur ou d'aide-réviseur aura gravement enfreint les obligations qui lui incombent lors d'une révision ou d'un contrôle, ou en rédigeant ou présentant le rapport de révision ou de contrôle, celui qui aura utilisé systématiquement le numéro AVS sans y être autorisé, sera puni d'une peine pécuniaire de 180 jours-amende au plus, à moins qu'il ne s'agisse d'un crime ou d'un délit frappé d'une peine plus lourde ». Commet l’infraction consistant à soustraire des cotisations la personne tenue de cotiser qui, intentionnellement par des indications inexactes ou incomplètes ou de</w:t>
      </w:r>
    </w:p>
    <w:p>
      <w:r>
        <w:t>A/4204/2016 - 6/7 - toute autre manière, élude, en tout ou partie, l’obligation de payer des cotisations. Il faut que l’employeur ait un comportement fallacieux analogue à celui de l’auteur d’une escroquerie (DP, n° 9004). Or, la décision litigieuse est fondée sur l’art. 52 LAVS, selon lequel « 1 L'employeur qui, intentionnellement ou par négligence grave, n'observe pas des prescriptions et cause ainsi un dommage à l'assurance, est tenu à réparation. 2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 Aussi le litige au fond porte-t-il sur la question de savoir si les recourants ont ou non commis une négligence grave en ne s’acquittant pas des cotisations dues par la société. Dans le système instauré par la loi fédérale sur l'assurance-vieillesse et survivants, l'employeur assume des obligations en matière de perception des cotisations et de versement des prestations, dont les plus importantes sont énumérées à l'art. 51 LAVS. Les tâches qui lui sont ainsi confiées ont pour corollaire qu'il supporte, en sa qualité d'organe d'exécution de la loi, une responsabilité de droit public, prévue à l'art. 52 LAVS (Jean-Maurice Frésard, La responsabilité de l'employeur pour le non-paiement de cotisations d'assurances sociales selon l'art. 52 LAVS, in Revue Suisse d'Assurances 1987, p. 1). Cette responsabilité s'étend sur le versement des cotisations paritaires à charge de l'employeur et de l'employé. En ce sens, elle se distingue de la responsabilité pénale de l'employeur - qui est engagée lorsque celui- ci déduit des cotisations du salaire d'un employé ou ouvrier et les détourne de leur destination (art. 87 LAVS) - laquelle ne concerne par conséquent que les cotisations paritaires retenues par l'employeur sur le salaire de l'employé. Par conséquent, le fait que les acomptes versés par la société faillie couvrent les cotisations à charge des employés est sans incidence sur le sort du litige dans la mesure où la responsabilité des recourants est engagée aussi longtemps que les cotisations d'assurances sociales à charge de l'employeur et de l'employé ne sont pas intégralement payées, ce qui est en l'occurrence le cas (arrêt du Tribunal fédéral H 166/02). Le sort de la procédure pénale n'est ainsi pas non plus déterminant pour l'issue de la présente procédure, de sorte qu’il n’y a pas lieu de suspendre la présente cause jusqu'à droit jugé dans la procédure pénale n° P/16631/2014.</w:t>
      </w:r>
    </w:p>
    <w:p>
      <w:r>
        <w:t>A/4204/2016 - 7/7 - PAR CES MOTIFS, LA CHAMBRE DES ASSURANCES SOCIALES : Statuant sur incident 1. Déclare les recours recevables. 2. Refuse de suspendre l'instance en application de l’art. 14 LPA.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