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ATAS/824/2014 vom 30. Juni 2014</w:t>
      </w:r>
    </w:p>
    <w:p>
      <w:r>
        <w:t>GE Cour de justice, 2014-06-30, FR</w:t>
      </w:r>
    </w:p>
    <w:p>
      <w:r>
        <w:rPr>
          <w:b/>
        </w:rPr>
        <w:t xml:space="preserve">Quelle: </w:t>
      </w:r>
      <w:r>
        <w:t>https://mcp.opencaselaw.ch/entscheid/ge_gerichte_ATAS_824_2014</w:t>
      </w:r>
    </w:p>
    <w:p>
      <w:r>
        <w:t>FR: GE_GERICHTE ATAS/824/2014 du 30 juin 2014</w:t>
      </w:r>
    </w:p>
    <w:p>
      <w:r>
        <w:t>IT: GE_GERICHTE ATAS/824/2014 del 30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A/188/2014 - 4/8 -</w:t>
      </w:r>
    </w:p>
    <w:p>
      <w:r>
        <w:rPr>
          <w:b/>
        </w:rPr>
        <w:t>E. 2</w:t>
      </w:r>
    </w:p>
    <w:p>
      <w:r>
        <w:t>Le recours, interjeté dans la forme et le délai prévus par la loi, est recevable (art. 56 et 60 LPGA ; art. 89B de la loi sur la procédure administrative du 12 septembre 1985 – LPA ; RS/GE E 5 10).</w:t>
      </w:r>
    </w:p>
    <w:p>
      <w:r>
        <w:rPr>
          <w:b/>
        </w:rPr>
        <w:t>E. 3</w:t>
      </w:r>
    </w:p>
    <w:p>
      <w:r>
        <w:t>L’objet du litige porte sur le point de savoir si l’intimé est fondé à réclamer à la recourante la restitution du montant de CHF 29'992.- versé à tort du 1er juillet 2008 au 31 octobre 2013.</w:t>
      </w:r>
    </w:p>
    <w:p>
      <w:r>
        <w:rPr>
          <w:b/>
        </w:rPr>
        <w:t>E. 4</w:t>
      </w:r>
    </w:p>
    <w:p>
      <w:r>
        <w:t>Selon l’art. 25 LPGA, les prestations indûment touchées doivent être restituées (al. 1, 1ère phrase). Les principes applicables à la restitution de prestations au sens de cette disposition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p. 319 et les références).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ailleurs, l'assureur peut revenir sur les décisions ou les décisions sur opposition formellement passées en force lorsqu'elles sont manifestement erronées et que leur rectification revêt une importance notable (art. 53 al. 2 LPGA).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 Le droit de demander la restitution s'éteint un an après le moment où l'institution a eu connaissance du fait, mais au plus tard cinq ans après le versement de la prestation (art. 25 al. 2, 1ère phrase, LPGA).</w:t>
      </w:r>
    </w:p>
    <w:p>
      <w:r>
        <w:rPr>
          <w:b/>
        </w:rPr>
        <w:t>E. 5</w:t>
      </w:r>
    </w:p>
    <w:p>
      <w:r>
        <w:t>En l’espèce, lors d’un contrôle effectué en juillet 2013 auprès du service de l’état- civil, la caisse de compensation chargée du versement de la rente a appris que par jugement du 26 mai 2008, notifié le 28 mai 2008, le Tribunal de première instance a prononcé le divorce des époux A______. Or, le divorce implique l’ouverture de la procédure dite de « splitting », à savoir du partage des revenus acquis par les époux durant le mariage, conformément à l’art. 29quinquies al. 3 let c LAVS et, partant, un nouveau calcul du montant de la rente d’invalidité de la recourante, ainsi que celui des rentes complémentaires pour enfants. Le nouveau calcul a abouti à une rente d’invalidité ainsi qu’à des rentes complémentaires pour enfants d’un montant inférieur à ce qui a été effectivement versé à la recourante, étant précisé que cette dernière n’a pas contesté les montants retenus dans les décisions des 24 octobre et 6 novembre 2013, entrées en force.</w:t>
      </w:r>
    </w:p>
    <w:p>
      <w:r>
        <w:t>A/188/2014 - 5/8 - Il s’ensuit que le divorce de la recourante constitue un fait nouveau, important, découvert après coup, qui justifie la révision procédurale des décisions de rente au sens de l’art. 53 al. 1 LPGA.</w:t>
      </w:r>
    </w:p>
    <w:p>
      <w:r>
        <w:rPr>
          <w:b/>
        </w:rPr>
        <w:t>E. 6</w:t>
      </w:r>
    </w:p>
    <w:p>
      <w:r>
        <w:t>a) Il convient d’examiner si l’intimé, en réclamant à la recourante la restitution des prestations versées à tort, a respecté le délai de péremption d’un an dès la connaissance des faits. L’intimé fait valoir qu’il a eu connaissance du divorce en date du 29 juillet 2013, date de la réception de l’attestation de l’état civil de Morat, suite à un contrôle effectué auprès dudit service. Auparavant, la recourante ne lui avait jamais signalé son changement d’état civil, ni communiqué le jugement de divorce. La recourante soutient avoir communiqué le jugement de divorce à l’AI, par pli simple.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ATF non publié 9C_632/2012 du</w:t>
      </w:r>
    </w:p>
    <w:p>
      <w:r>
        <w:rPr>
          <w:b/>
        </w:rPr>
        <w:t>E. 10</w:t>
      </w:r>
    </w:p>
    <w:p>
      <w:r>
        <w:t>Pour le surplus, la procédure est gratuite et il n’y a pas lieu de percevoir un émolument (cf. art. 69 al. 1bis LAI). ***</w:t>
      </w:r>
    </w:p>
    <w:p>
      <w:r>
        <w:t>A/188/2014 - 8/8 -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