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ATAS/822/2025 vom 28. Oktober 2025</w:t>
      </w:r>
    </w:p>
    <w:p>
      <w:r>
        <w:t>GE Cour de justice, 2025-10-28, FR</w:t>
      </w:r>
    </w:p>
    <w:p>
      <w:r>
        <w:rPr>
          <w:b/>
        </w:rPr>
        <w:t xml:space="preserve">Quelle: </w:t>
      </w:r>
      <w:r>
        <w:t>https://mcp.opencaselaw.ch/entscheid/ge_gerichte_ATAS_822_2025</w:t>
      </w:r>
    </w:p>
    <w:p>
      <w:r>
        <w:t>FR: GE_GERICHTE ATAS/822/2025 du 28 octobre 2025</w:t>
      </w:r>
    </w:p>
    <w:p>
      <w:r>
        <w:t>IT: GE_GERICHTE ATAS/822/2025 del 28 ottobre 2025</w:t>
      </w:r>
    </w:p>
    <w:p>
      <w:pPr>
        <w:pStyle w:val="Heading2"/>
      </w:pPr>
      <w:r>
        <w:t>Erwägungen</w:t>
      </w:r>
    </w:p>
    <w:p>
      <w:r>
        <w:rPr>
          <w:b/>
        </w:rPr>
        <w:t>E. 13</w:t>
      </w:r>
    </w:p>
    <w:p>
      <w:r>
        <w:t>avril 2011, la cure de hernie inguinale gauche à l'âge de 8 ans, le macroadénome hypophysaire prolactinome diagnostiqué en avril 2015, l'hypothyroïdie périphérique, le trouble anxieux depuis le 13 avril 2011, l'arthrose acromioclaviculaire depuis 2017 et les cervicobrachialgies gauches depuis le 19 juin 2015 – étaient sans répercussion sur la capacité de travail. Il a indiqué que la situation du membre supérieur gauche devait être considérée comme stabilisée depuis le 8 octobre 2014, soit à la date de l'examen médical réalisé par la Dre D______. L'expert orthopédiste a procédé à l'examen des critères de Budapest, lesquels étaient remplis dans le cas du recourant, et expliqué, arguments à l’appui et sur la base de la littérature médicale, les raisons pour lesquelles il confirmait la présence d'un SDRC. Il a précisé que ce trouble était apparu dans les suites du traitement par immobilisation, c'est-à-dire dans les six à huit semaines qui avaient suivi l'accident en cause. Il a indiqué que la luxation glénohumérale de l'épaule gauche du recourant et ses lésions accompagnatrices – soit la fracture de la coracoïde gauche, la lésion du labrum antéroinférieure, le petit arrachement du bord inférieur de la glène (lésion de Bankart) et la lésion de Hill-Sachs –, avaient évolué vers une épaule gelée et abouti à une raideur chronicisée touchant l'épaule et le coude gauches dans un contexte de SDRC. Il a également exclu, avec conviction, qu'un élément autre que l'accident en cause puisse avoir déclenché ce SDRC. Ainsi, selon l'expert orthopédiste, la luxation glénohumérale traumatique de l'épaule gauche constituait la preuve physique de l'atteinte et le facteur déclenchant du SDRC, lequel était donc bel et bien en lien de causalité avec l'accident du 13 avril 2011. Le Prof. N______ a estimé que le statu quo sine vel ante n'avait jamais été atteint, puisque le recourant avait développé une raideur douloureuse persistante de l'épaule et du coude gauches, ou SDRC, dans les suites de l'accident, alors qu'auparavant il ne souffrait d'aucune pathologie de l'épaule gauche. À titre de limitations fonctionnelles, il a considéré qu'en raison du SDRC, le recourant ne pouvait pas utiliser son membre supérieur gauche, et qu'en raison des lombalgies communes, il était limité au port de charge à 5 kg, et devait éviter le travail en porte-à-faux, de même que l'utilisation d'échelle et d'escabeau, ainsi que la station debout ou assise prolongée. Le Prof. N______ a conclu à une incapacité</w:t>
      </w:r>
    </w:p>
    <w:p>
      <w:r>
        <w:t>A/4161/2023 - 24/29 - de travail totale dans toute activité, en soulignant que l'OAI avait constaté que le recourant n'avait aucune capacité de travail résiduelle et en précisant que la douleur constante engendrée par le SDRC, avec la raideur de l'épaule gauche et la négligence du membre supérieur gauche ajoutées à la surcharge douloureuse sur sursollicitation de l'épaule droite, réduisaient à néant la capacité de travail. S'agissant du traitement, l'expert a estimé qu'un soutien par antalgie et physiothérapie, ainsi qu'un suivi psychologique, étaient nécessaires pour maintenir l'état actuel mais qu'après presque quinze ans d'évolution d'un SDRC chronicisé avec raideur de l'épaule et du coude, aucun traitement ne pourrait améliorer la capacité de travail et le pronostic, quant à une récupération de l'usage du membre supérieur gauche, était mauvais, bien qu'une réévaluation périodique soit indiquée. Concernant la question de l'atteinte à l'intégrité, le Prof. N______ l'a évaluée, au total, à un taux de 27.5% sur la base des tables de la SUVA. Il a considéré que la diminution de la mobilité de l'épaule jusqu'à l'horizontale correspondait à une atteinte à l'intégrité de 17.5%, en se référant à l'estimation de la Dre D______, et que la diminution de la mobilité du coude entre zéro et 90 degrés correspondait à une atteinte à l'intégrité de 10%. L'expert orthopédiste a expliqué de manière convaincante et circonstanciée les raisons pour lesquelles il s'écartait des conclusions de l'expertise du Dr G______. La chambre de céans relève en outre qu'il a répondu à toutes les critiques émises par l'intimée et par le Dr O______ à l'encontre de son rapport d'expertise. Il s'est en particulier fondé sur les rapports d'observations professionnelles, établis à la suite des deux mesures d'orientation professionnelle qui avaient été accordées par l'OAI, pour retenir que ces évaluations réalisées par des professionnels démontraient l'incapacité fonctionnelle du recourant à exercer une profession lucrative, précisant que cette incapacité était le fait du développement du SDRC invalidant séquellaire à la luxation de l'épaule gauche du 13 avril 2011. Il a relevé que l'OAI avait d'ailleurs reconnu une incapacité de travail totale et le droit à une rente entière sur la base de ces observations. Il a souligné que l'ORIF avait estimé qu'un poste à 100% ne semblait pas possible et s'était interrogé sur l'existence d'une activité adaptée dans le cas du recourant. Il s'est également référé à une note au dossier de l'intimée – établie à la suite d'un appel téléphonique avec l'OAI –, selon laquelle la situation du recourant était catastrophique, que celui-ci ne pouvait rien faire, même les activités les plus simples, que son état s'était empiré, qu’il avait les deux bras et mains enflés, rouges et enflammés, qu'il compensait beaucoup avec le bras droit et commençait à avoir des problèmes aussi de ce côté, qu'il y avait une aggravation également au niveau des cervicales, qu’il faisait tous les efforts possibles, voulait se former, était volontaire, mais qu'il n'y arrivait pas, son rendement étant nul, que le stage avait dû être interrompu mais que pour que l’intéressé – qui était dans une situation financière très difficile – puisse continuer à toucher les indemnités journalières, il avait été décidé qu'il poursuivrait la mesure à 50%, si possible, en étant présent tous les jours mais sans contrainte</w:t>
      </w:r>
    </w:p>
    <w:p>
      <w:r>
        <w:t>A/4161/2023 - 25/29 - d'horaire. Le Prof. N______ s'est encore rapporté au contenu des rapports d'observations professionnelles desdites mesures, dont le contenu confirmait celui de cette note. Il a relevé que l'OAI avait reconnu que les limitations du recourant étaient trop invalidantes pour prétendre à une reprise d'activité professionnelle dans le premier marché. Il a considéré, au sujet du membre supérieur droit, que si son examen clinique du recourant n'avait pas montré de raideur ou de perte de force de l'épaule droite, cela n'impliquait pas que ce membre puisse être utilisé dans le cadre d'une activité lucrative, dès lors que des essais en ce sens avaient échoué. Selon le Prof. N______, cette incapacité était le fait du développement d'un SDRC invalidant séquellaire à la luxation du 13 avril 2011 – rappelant qu'un traumatisme pouvait mener à l'instauration d'un SDRC qui touchait un membre atteint dans sa totalité et au-delà et que ce membre restait douloureux et enraidi ce qui entravait la vie, le travail et les fonctionnalités des patients, lesquels étaient atteints dans leur globalité par l'évolution néfaste de ce traumatisme. Il était reconnu dans une abondante littérature, selon cet expert, que le SDRC ne touchait pas seulement la région anatomique atteinte mais s'étendait aux articulations adjacentes et même dans certains cas au membre controlatéral. Le Prof. N______ a estimé que les limitations retenues par l'intimée n'étaient pas réalistes, le recourant pouvant à peine décoller son bras gauche du tronc, et que l'incapacité de travail était évidemment à la charge de l'intimée, puisque l'apparition d'une épaule gelée, puis d'un SDRC très sévère, suite à une fracture-luxation de l'épaule gauche, constituait un traumatisme. L'expert orthopédiste a relevé que la critique sur la forme de son expertise n'était pas fondée et n'avait aucune influence sur le fond, dès lors qu'il aurait pu inclure ces commentaires dans une autre partie de son rapport. Quant au conflit d'intérêt allégué par l'intimée et le Dr O______, il y a répondu en indiquant qu'il n'avait aucun souvenir d'avoir été consulté pour ce cas et, malgré les courriels mentionnant son nom, aucun avis ou opinion qu'il aurait émis concernant le recourant n'apparaissait dans le dossier. 10.1.2 S'agissant ensuite du rapport d'expertise du Dr M______, il comprend une synthèse des rapports médicaux au dossier, l'anamnèse, des constatations objectives établies sur la base d'un examen clinique du recourant et de l'étude du dossier. Aucun diagnostic sur le plan neurologique n'a été retenu par cet expert neurologue, qui a cependant relevé qu'il s'agissait d'un tableau d'épaule gelée sans substrat neurologique sous-jacent, en particulier sans anomalie neurogène d'origine traumatique, mais objectivable par une hypomyotrophie segmentaire de sous-utilisation. Il a observé que l'épaule gauche n'était pas mobilisable et que des douleurs étaient reproduites à la palpation de façon assez diffuse au membre supérieur gauche. Il a indiqué avoir été frappé par une hypomyotrophie significative du muscle deltoïde et du muscle sus-épineux. Il a estimé que le tableau était cohérent, sous réserve de quelques atypies traduisant une surcharge</w:t>
      </w:r>
    </w:p>
    <w:p>
      <w:r>
        <w:t>A/4161/2023 - 26/29 - en particulier une douleur qui irradiait jusque derrière l'œil gauche et que les troubles sensitifs diffus pouvaient être attribués à des séquelles de SDRC. Selon lui, il existait un substrat organique mais pas sur le plan neurologique. Il a mentionné qu'il partageait les conclusions du Dr F______. 10.1.3 Les experts ont confirmé dans leurs rapports respectifs que leurs conclusions avaient été discutées et retenues de manière consensuelle. 10.2 La chambre de céans constate ainsi que les rapports des experts reposent sur l’intégralité du dossier médical du recourant, dont les plaintes ont été prises en considération. Les experts ont procédé à un examen clinique complet dans leur domaine de spécialisation et se sont livrés à une analyse minutieuse du cas. Ils ont justifié leur appréciation, en particulier lorsqu’ils se sont écartés des conclusions d’autres médecins, et ce sur toutes les questions litigieuses, notamment celles relatives aux diagnostics, à l’évolution de l’état de santé, au lien de causalité avec l'accident assuré, aux limitations fonctionnelles et à l’évaluation de la capacité de travail. Ils ont présenté des conclusions claires, cohérentes et argumentées. On relèvera en particulier qu’aucun élément ne permet de douter du bien-fondé des conclusions du Prof. N______, circonstanciées et bien motivées. Concernant le diagnostic de SDRC, cet expert a notamment expliqué clairement qu'il était apparu dans les six à huit semaines suivant l'accident ayant entrainé les lésions physiques à l'épaule du recourant. Or, dans ces conditions et conformément à la jurisprudence précitée relative au SDRC, on peut retenir que ce syndrome est la conséquence de l'accident du 13 avril 2011. On observera encore, à l'instar du Prof. N______, que les limitations en lien uniquement avec les problèmes au membre supérieur gauche, observées à l'occasions des deux stages d'orientation professionnelle réalisés auprès de l'ORIF et de PRO, étaient déjà très importantes et avaient des répercussions au-delà de la simple impossibilité d'utilisation du membre supérieur gauche. En effet, il ressort notamment du rapport d'évaluation du 14 mars 2016 établi par PRO que pour protéger et stabiliser son membre supérieur gauche, le recourant plaçait constamment sa main gauche dans sa poche et que, dès lors que cette position était instable et rapidement douloureuse, tous les mouvements étaient ralentis et aucune endurance n'était possible. Les responsables de la mesure ont noté en particulier que leurs évaluations montraient que la capacité à exercer durablement une seule et même activité était compromise, que la position assise était limitée à cinq minutes maximum sinon les douleurs s'intensifiaient et que c'était donc en position debout que le recourant avait principalement travaillé. Ils ont observé l'augmentation des douleurs, fréquentes et chroniques et dont l'intensité variait en fonction de la durée et du type d'activité, le plus souvent aiguë et irradiant dans la nuque, l'épaule, le bras et la main gauche. Il est noté encore que ces difficultés s'accompagnaient généralement d'une fatigabilité accrue, d'une perte de concentration et de nombreuses interruptions d'activité. Ainsi, selon les professionnels de PRO, la capacité de travail était extrêmement réduite, seule la</w:t>
      </w:r>
    </w:p>
    <w:p>
      <w:r>
        <w:t>A/4161/2023 - 27/29 - main droite pouvait être sollicitée et de façon limitée car à force de compenser le côté gauche accidenté par son bras droit, le recourant avait développé une importante tendinite du côté droit. Par ailleurs, toujours selon les rapports d'observations professionnelles, le recourant avait eu des périodes d'incapacité de travail et n'avait finalement pas pu terminer la mesure, en dépit de sa bonne volonté et de sa parfaite collaboration. Le Prof. N______ ne pouvait faire fi des observations professionnelles, en particulier des limitations physiques observées en lien avec les atteintes au membre supérieur gauche (cf. arrêt du Tribunal fédéral 9C_539/2024 précité). D'ailleurs, on ne saurait suivre l'intimée et le Dr O______ lorsqu'ils allèguent que l'expert orthopédiste aurait tenu compte de l'ensemble des limitations physiques, et non pas seulement de celles en lien avec l'accident du 13 avril 2011. En effet, cet expert a expliqué que les restrictions prises en compte pour évaluer la capacité de travail du recourant sont toutes celles liées aux problèmes au membre supérieur gauche – dus principalement au SDRC – puisque, selon lui, il ressortait des observations professionnelles précitées que ces problèmes avaient clairement des répercussions au-delà de l'utilisation du seul bras gauche. En outre, à la lecture desdits rapports d'observations professionnelles, la chambre de céans ne peut que suivre les explications et conclusions du Prof. N______, lesquelles sont convaincantes. Quant au fait que certaines limitations n'ont pas été constatées par l'expert lors de l'examen clinique, cela ne justifie pas non plus de les écarter, puisqu'à défaut d'activité récente nécessitant notamment l'utilisation accrue et sur une période prolongée du bras droit pour compenser l'impossibilité d'utiliser le membre supérieur gauche – comme cela a été le cas lors des mesures d'ordre professionnel – il n'y avait pas de raison en soi que ces limitations spécifiques se révèlent. Quant aux allégations du Dr O______ sur l'existence d'un supposé conflit d'intérêt avec le Prof. N______, la chambre de céans relève que ce dernier a exposé de manière convaincante qu'il ne se trouvait pas dans une telle position dans cette affaire. Au demeurant, on rappellera que ce grief a d'ores et déjà été discuté et écarté dans l'ordonnance d'expertise (cf. ATAS/851/2024). Il n'y a ainsi pas lieu d'y revenir. 10.3 Au vu de ce qui précède, les conclusions de l'expertise judiciaire – renforcées par celles des rapports d'observations professionnelles – emportent la conviction de la chambre de céans et il convient de retenir une incapacité de travail de 100% dans toute activité. 10.4 En fonction du taux d'incapacité de travail ainsi déterminé, le degré d'invalidité présenté par le recourant doit être également fixé à 100%, auquel correspond le droit à une rente entière d'invalidité.</w:t>
      </w:r>
    </w:p>
    <w:p>
      <w:r>
        <w:t>A/4161/2023 - 28/29 - Le recourant a donc droit au versement d'une rente d'invalidité au taux de 100% à compter du 9 octobre 2014, soit le lendemain de la date à laquelle la situation du membre supérieur gauche est considérée, selon l'expertise, comme stabilisée. 10.5 On rappellera concernant le droit au traitement médical, que celui-ci cesse dès la naissance du droit à la rente, sous réserve des cas de figure listés de manière exhaustive à l'art. 21 al. 1 LAA. Or, le recourant, qui ne souffre pas d'une maladie professionnelle et ne dispose plus d'aucune capacité de gain – sa capacité de travail étant nulle dans toute activité – ne remplit pas les conditions énumérées à cette disposition. Il n'a ainsi plus droit à la poursuite de la prise en charge de ses frais de traitement médicaux, de sorte que sa conclusion en ce sens devra être rejetée. 10.6 Quant au taux de l'atteinte à l'intégrité tel que retenu par le Prof. N______, soit 27.5%, il n'est pas contesté par les parties et n'est pas critiquable, de sorte qu'il sied de le confirmer. L’intimée sera donc condamnée à verser au recourant une indemnité pour atteinte à l'intégrité de 27.5%, sous déduction de celle déjà versée. 11. Partant, le recours sera partiellement admis, la décision litigieuse annulée et il sera dit que le recourant a droit à une rente d'invalidité de 100% dès le 9 octobre 2014 et à une indemnité pour atteinte à l'intégrité de 27.5%, sous déduction de l’indemnité déjà versée. La cause sera renvoyée à l’intimée, pour calculs du gain assuré et de la rente, dans le sens des considérants et nouvelle décision. Le recourant obtenant partiellement gain de cause, une indemnité de CHF 4'000.- lui sera accordée à titre de participation à ses frais et dépens (art. 61 let. g LPGA ; art. 6 du règlement sur les frais, émolument et indemnités en matière administrative du 30 juillet 1986 [RFPA - E 5 10.03]). Pour le surplus, la procédure est gratuite (art. 61 let. fbis LPGA a contrario).</w:t>
      </w:r>
    </w:p>
    <w:p>
      <w:r>
        <w:t>PAR CES MOTIFS, LA CHAMBRE DES ASSURANCES SOCIALES :</w:t>
      </w:r>
    </w:p>
    <w:p>
      <w:r>
        <w:t>A/4161/2023 - 29/29 -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