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ATAS/822/2018 vom 18. September 2018</w:t>
      </w:r>
    </w:p>
    <w:p>
      <w:r>
        <w:t>GE Cour de justice, 2018-09-18, FR</w:t>
      </w:r>
    </w:p>
    <w:p>
      <w:r>
        <w:rPr>
          <w:b/>
        </w:rPr>
        <w:t xml:space="preserve">Quelle: </w:t>
      </w:r>
      <w:r>
        <w:t>https://mcp.opencaselaw.ch/entscheid/ge_gerichte_ATAS_822_2018</w:t>
      </w:r>
    </w:p>
    <w:p>
      <w:r>
        <w:t>FR: GE_GERICHTE ATAS/822/2018 du 18 septembre 2018</w:t>
      </w:r>
    </w:p>
    <w:p>
      <w:r>
        <w:t>IT: GE_GERICHTE ATAS/822/2018 del 18 settembre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D'après l'art. 62 al. 3 LPA-GE, le délai de recours court dès le lendemain de la notification de la décision. Lorsque le délai échoit un samedi, un dimanche ou un jour férié selon le droit fédéral ou cantonal, son terme est reporté au premier jour ouvrable qui suit (art. 38 al. 3, 1ère phrase LPGA applicable par renvoi de l’art. 60 al. 2 LPGA ; cf. également art. 17 al. 3 LPA-GE). Les délais en jours ou en mois fixés par la loi ou par l’autorité ne courent pas du 7ème jour avant Pâques au 7ème jour après Pâques inclusivement (art. 38 al. 4 let. a LPGA et 89C let. a LPA-GE). En l'espèce, le recours a été interjeté le 22 mai 2017, contre la décision expédiée le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L’art. 8 al. 3 let. b LAI dispose que les</w:t>
      </w:r>
    </w:p>
    <w:p>
      <w:r>
        <w:t>A/2230/2017 - 15/24 -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d’ordre professionnel)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A/2230/2017 - 16/24 -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w:t>
      </w:r>
    </w:p>
    <w:p>
      <w:r>
        <w:t>A/2230/2017 - 17/24 -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 cf. ATF 130 III 321 consid. 3.2 et 3.3).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arrêt du Tribunal fédéral 9C_719/2016 consid. 5.2.2). Aussi n’existe-t-il pas, en droit des assurances sociales, un principe selon lequel l’administration ou le juge devrait statuer, dans le doute, en faveur de l’assuré (ATF 126 V 319 consid. 5a).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w:t>
      </w:r>
    </w:p>
    <w:p>
      <w:r>
        <w:rPr>
          <w:b/>
        </w:rPr>
        <w:t>E. 12</w:t>
      </w:r>
    </w:p>
    <w:p>
      <w:r>
        <w:t>Dans un deuxième grief, la recourante conteste que, sans invalidité, elle aurait exercé une activité lucrative à 80 % pour s’occuper de ses enfants. b. Selon la jurisprudence,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0 et les références). Par ailleurs, pour résoudre la question litigieuse, il faut se référer à l'ensemble des circonstances personnelles, familiales, sociales, financières et professionnelles du cas d'espèce (ATF 130 V 393 consid. 3.3 ; ATF 125 V 146 consid. 2c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 arrêt du Tribunal fédéral 9C_279/2018 du 28 juin 2018 consid. 2.2).</w:t>
      </w:r>
    </w:p>
    <w:p>
      <w:r>
        <w:t>A/2230/2017 - 23/24 - c. En l’espèce, l’intimé a fixé un statut mixte sur la base de la note du gestionnaire du 4 mars 2016 estimant que la recourante n’aurait travaillé qu’à 80 % afin de s’occuper de ses deux enfants. Or, une telle conclusion ne ressort nullement d’un examen prenant en considération l’ensemble des circonstances personnelles, familiales, sociales, financières et professionnelles du cas d’espèce puisque l’intimé n’a procédé à aucune instruction à ce sujet. Notamment, il n’est pas clair si la recourante vit avec le père de ses enfants ou non et quel est le montant de la rente d’invalidité de ce dernier, éléments qui ont leur importance pour procéder à une telle évaluation de l’ensemble des circonstances. Par ailleurs, l’intimé n’a jamais fait remplir à la recourante de questionnaire concernant le statut et n’explique pas pourquoi elle ne tient pas compte de la recherche d’un emploi à 100 % lors de l’inscription de la recourante auprès de l’OCE, en tant qu’indice extérieur qui permet de déduire la volonté hypothétique de la recourante. Par conséquent, cette question devra également faire l’objet d’une instruction de la part de l’intimé. Les autres griefs de la recourante n’ont pas à être examinés tant que la question de sa capacité de travail dans une activité adaptée à ses limitations fonctionnelles n’a pas été instruite correctement, étant précisé que l’évaluation du taux d’invalidité faite par l’intimé n’est pas exempte de critiques en tant qu’il n’a pas établi le revenu sans invalidité selon l’ESS 2014 et l’ISS 2015, alors que le droit aux prestations ne peut pas débuter avant le 1er février 2015 (art. 29 al. 1 LAI) et qu’il ne s’est pas basé sur le salaire statistique correspondant à une activité d’aide de crèche. Par ailleurs, s’agissant du droit aux mesures professionnelles, l’absence de faculté subjective ne permet pas à l’intimé de refuser le droit à des mesures de reclassement en l’absence de mise en demeure au sens de l’art. 21 al. 4 LPGA.</w:t>
      </w:r>
    </w:p>
    <w:p>
      <w:r>
        <w:rPr>
          <w:b/>
        </w:rPr>
        <w:t>E. 13</w:t>
      </w:r>
    </w:p>
    <w:p>
      <w:r>
        <w:t>Il se justifie, en conséquence, d’admettre le recours, d’annuler la décision du 5 avril 2017 et de renvoyer la cause à l’intimé pour instruction complémentaire au sens des considérants, puis nouvelle décision. La recourante étant représentée par un avocat et obtenant gain de cause, une indemnité de CHF 2'500.-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300.-. * * * * * *</w:t>
      </w:r>
    </w:p>
    <w:p>
      <w:r>
        <w:t>A/2230/2017 - 24/24 -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