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ATAS/822/2014 vom 27. Juni 2014</w:t>
      </w:r>
    </w:p>
    <w:p>
      <w:r>
        <w:t>GE Cour de justice, 2014-06-27, FR</w:t>
      </w:r>
    </w:p>
    <w:p>
      <w:r>
        <w:rPr>
          <w:b/>
        </w:rPr>
        <w:t xml:space="preserve">Quelle: </w:t>
      </w:r>
      <w:r>
        <w:t>https://mcp.opencaselaw.ch/entscheid/ge_gerichte_ATAS_822_2014</w:t>
      </w:r>
    </w:p>
    <w:p>
      <w:r>
        <w:t>FR: GE_GERICHTE ATAS/822/2014 du 27 juin 2014</w:t>
      </w:r>
    </w:p>
    <w:p>
      <w:r>
        <w:t>IT: GE_GERICHTE ATAS/822/2014 del 27 giugno 2014</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complémentaires cantonales, l’art. 43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w:t>
      </w:r>
    </w:p>
    <w:p>
      <w:r>
        <w:rPr>
          <w:b/>
        </w:rPr>
        <w:t>E. 4</w:t>
      </w:r>
    </w:p>
    <w:p>
      <w:r>
        <w:t>Le litige portant sur la question de savoir si c’est à juste titre que l’intimé a repris le calcul des prestations allouées à la recourante en tenant compte du fait que son mari et elle ont repris la vie commune et lui a réclamé le montant des prestations indument versées selon ses nouveaux calculs.</w:t>
      </w:r>
    </w:p>
    <w:p>
      <w:r>
        <w:rPr>
          <w:b/>
        </w:rPr>
        <w:t>E. 5</w:t>
      </w:r>
    </w:p>
    <w:p>
      <w:r>
        <w:t>Selon la loi, les prestations complémentaires fédérales indûment touchées doivent être restituées par le bénéficiaire ou par ses héritiers. Le droit de demander la restitution s’éteint un an après le moment où l’institution d’assurance a eu</w:t>
      </w:r>
    </w:p>
    <w:p>
      <w:r>
        <w:t>A/1083/2014 - 4/7 - connaissance du fait, mais au plus tard cinq ans après le versement de la prestation (cf. art. 25 LPGA en relation avec l'art. 2 al. 1 let. a de l'ordonnance sur la partie générale du droit des assurances sociales du 11 septembre 2002 [OPGA ; RS 830.11]). L’étendue de l’obligation de restituer est fixée par une décision. L’assureur indique la possibilité d’une remise dans la décision en restitution. Il décide dans sa décision de renoncer à la restitution lorsqu’il est manifeste que les conditions d’une remise sont réunies (art. 3 OPGA).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w:t>
      </w:r>
    </w:p>
    <w:p>
      <w:r>
        <w:rPr>
          <w:b/>
        </w:rPr>
        <w:t>E. 6</w:t>
      </w:r>
    </w:p>
    <w:p>
      <w:r>
        <w:t>a) Conformément à l’art. 9 al. 1 LPC, le montant de la prestation complémentaire annuelle correspond à la part des dépenses reconnues qui excède les revenus déterminants (art. 9 al. 1 LPC). D’après l’art. 11 LPC, les revenus déterminants comprennent notamment deux tiers des ressources en espèces ou en nature provenant de l’exercice d’une activité lucrative, pour autant qu’elles excèdent annuellement CH 1'000.- pour les personnes seules et CHF 1'500.- pour les couples (let. a), le produit de la fortune mobilière et immobilière (let. b), un dixième de la fortune nette pour les bénéficiaires de rentes de vieillesse, dans la mesure où elle dépasse CHF 25'000.- pour les personnes seules (CHF 37'500.- dès le 1er janvier 2011) et CHF 40'000.- pour les couples (CHF 60'000.- dès le 1er janvier 2011) (let. c), les rentes, pensions et autres prestations périodiques, y compris les rentes de l’AVS et de l’AI (let. d) et les pensions alimentaires prévues par le droit de la famille (let. h). En ce qui concerne les dépenses, l’art.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CHF 13'200.- pour les personnes seules (ch. 1) et de CHF 15'000.- pour les couples (ch. 2). b) Une règlementation similaire régit les prestations complémentaires cantonales (art. 2 LPCC et 4ss LPCC.).</w:t>
      </w:r>
    </w:p>
    <w:p>
      <w:r>
        <w:rPr>
          <w:b/>
        </w:rPr>
        <w:t>E. 7</w:t>
      </w:r>
    </w:p>
    <w:p>
      <w:r>
        <w:t>Lorsque les conjoints vivent séparés, il résulte de l'art. 1 al. 1 de l’ordonnance sur les prestations complémentaires à l’assurance-vieillesse, survivants et invalidité du 15 janvier 1971 (OPC-AVS/AI ; RS 831.301), que chacun d'eux a un droit propre à</w:t>
      </w:r>
    </w:p>
    <w:p>
      <w:r>
        <w:t>A/1083/2014 - 5/7 - des prestations complémentaires, si chacun peut prétendre à une propre rente de l'AVS ou de l'AI. Sont considérés comme vivant séparés les époux dont la séparation de corps a été prononcée par décision judiciaire (a), dont le divorce ou la séparation de corps est en cours (b), ou dont la séparation de fait dure sans interruption depuis un an au moins (c), ou s’il est rendu vraisemblable que la séparation de fait durera relativement longtemps (d ; art. 1 al. 4 OPC-AVS/AI). Cet article est également applicable aux prestations complémentaires cantonales, par renvoi de l'art. 1A LPCC. Il résulte de la jurisprudence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Cependant, dans un arrêt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retraité avait exposé, de manière convaincante les raisons qui l’avaient amené à partager un appartement avec son ex-femme. L’époux avait notamment indiqué qu’ils avaient décidé de partager un appartement pour plusieurs motifs, notamment à cause de problèmes de santé. Par ailleurs, les ex- époux avaient souhaité déménager au Tessin et il s’était avéré plus économique de louer un appartement ensemble (arrêt du TF destiné à la publication aux ATF 9C_282/2010 du 25 février 2011).</w:t>
      </w:r>
    </w:p>
    <w:p>
      <w:r>
        <w:rPr>
          <w:b/>
        </w:rPr>
        <w:t>E. 8</w:t>
      </w:r>
    </w:p>
    <w:p>
      <w:r>
        <w:t>En l’espèce, l’intimé a appliqué le barème pour couple au motif que sa bénéficiaire avait repris la vie commune. L’intimé invoque à l’appui de sa décision un arrêt rendu le 9 novembre 2009 par le Tribunal cantonal des assurances sociales (ATAS/1360/2009). Le cas d’espèce</w:t>
      </w:r>
    </w:p>
    <w:p>
      <w:r>
        <w:t>A/1083/2014 - 6/7 - présente cependant une différence de taille avec la situation alors examinée par le Tribunal : en l’espèce, la recourante est bel et bien séparée judiciairement de corps de son époux (par ordonnance du 26 avril 2010), alors que dans le cas soumis au Tribunal en 2009, le bénéficiaire était séparé de fait, sans qu’aucun jugement de séparation de corps ou de divorce n’ait été rendu. Or, l’art. 1 al. 4 OPC prévoit expressément qu’en cas de séparation de corps prononcée par décision judiciaire, les époux doivent être considérés comme vivant séparés. Certes, il est arrivé au Tribunal fédéral de juger, dans le cas d’époux dont la séparation judiciaire avait été prononcée, mais qui continuaient à vivre ensemble, ou se remettaient à vivre ensemble après une séparation, que les revenus déterminants et les dépenses reconnues des époux devaient être additionnés et comparés aux montants destinés à la couverture des besoins vitaux (RCC 1986 143). Il y a cependant lieu d’appliquer par analogie la jurisprudence du Tribunal fédéral rappelée supra, applicable aux couples divorcés et de considérer qu’un couple séparé de corps qui vit ensemble ne peut être assimilé à un couple marié et que le droit aux prestations complémentaires d’une personne séparée de corps, même si elle vit avec son ex-conjoint, se calcule en fonction de ses propres revenus et dépenses, à moins qu’il y ait abus de droit manifeste au sens de l’art. 2 al. 2 CC. Dans le cas présent, tel n’est pas le cas. La recourante a en effet exposé, de manière convaincante, les raisons qui l’ont amenée à partager un appartement avec son mari, notamment en raison des problèmes de santé de ce dernier et du fait qu’il ne trouve pas à se loger à Genève. Le recours est donc partiellement admis en ce sens que la décision du 11 mars 2014 est annulée et la cause renvoyée à l’intimé à charge pour ce dernier de procéder à un nouveau calcul des prestations complémentaires, en tenant compte uniquement des revenus et dépenses de la recourante mais aussi d’un loyer proportionnel puisqu’elle partage son logement. Dans l’hypothèse où ce nouvel examen devait déboucher sur une nouvelle décision de restitution, la recourante aura la possibilité de la contester à nouveau par le biais d'un recours ou de solliciter la remise de l’obligation de restituer si elle ne conteste pas les calculs mais estime ne pas avoir les moyens de rembourser.</w:t>
      </w:r>
    </w:p>
    <w:p>
      <w:r>
        <w:t>A/1083/2014 - 7/7 - PAR CES MOTIFS, LA CHAMBRE DES ASSURANCES SOCIALES : Statuant A la forme : 1. Déclare le recours recevable. Au fond : 2. L’admet partiellement au sens des considérants. 3. Renvoie la cause à l’intimé pour nouveaux calculs et nouvelle décision. 4. Condamne l’intimé à verser à la recourante la somme de CHF 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