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ATAS/821/2020 vom 30. September 2020</w:t>
      </w:r>
    </w:p>
    <w:p>
      <w:r>
        <w:t>GE Cour de justice, 2020-09-30, FR</w:t>
      </w:r>
    </w:p>
    <w:p>
      <w:r>
        <w:rPr>
          <w:b/>
        </w:rPr>
        <w:t xml:space="preserve">Quelle: </w:t>
      </w:r>
      <w:r>
        <w:t>https://mcp.opencaselaw.ch/entscheid/ge_gerichte_ATAS_821_2020</w:t>
      </w:r>
    </w:p>
    <w:p>
      <w:r>
        <w:t>FR: GE_GERICHTE ATAS/821/2020 du 30 septembre 2020</w:t>
      </w:r>
    </w:p>
    <w:p>
      <w:r>
        <w:t>IT: GE_GERICHTE ATAS/821/2020 del 30 settembre 2020</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ainsi recevable (art. 56 ss LPGA et 62 ss LPA).</w:t>
      </w:r>
    </w:p>
    <w:p>
      <w:r>
        <w:rPr>
          <w:b/>
        </w:rPr>
        <w:t>E. 3</w:t>
      </w:r>
    </w:p>
    <w:p>
      <w:r>
        <w:t>Le litige porte sur le droit de la recourante à une rente d'invalidité entière.</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A/1178/2017 - 13/19 -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5</w:t>
      </w:r>
    </w:p>
    <w:p>
      <w:r>
        <w:t>Le diagnostic de fibromyalgie est posé en principe par un rhumatologue dont le diagnostic s'appuie lege artis sur les critères d'un système de classification reconnu (ATF 132 V 65). La capacité de travail réellement exigible des personnes souffrant d’une symptomatologie douloureuse sans substrat organique, telle que la fibromyalgie,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(ATF 141 V 281) Dans la catégorie « degré de gravité fonctionnel », notre le Tribunal fédéral distingue, dans l’arrêt précité, entre le complexe « atteinte à la santé » avec trois sous-catégories, le complexe « personnalité » et le complexe « environnement social ».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 diagnostic, comme par exemple la présence de conflits émotionnels et de problèmes psycho-sociaux. Un deuxième indicateur est l’échec de tous les traitements conformes aux règles de l’art, en dépit d'une coopération optimale. Il n’y a chronicisation qu’après plusieurs</w:t>
      </w:r>
    </w:p>
    <w:p>
      <w:r>
        <w:t>A/1178/2017 - 14/19 - années et après avoir épuisé toutes les possibilités de traitement, ainsi que les mesures de réadaptation et d’intégration. Le refus de l’assuré de participer à de telles mesures constitue un indice sérieux d’une atteinte non invalidante.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 les fonctions complexes du moi ». Selon le Tribunal fédéral, «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 (arrêt op. cit. consid. 4.3.2). Enfin, dans la catégorie du degré de la gravité de l'atteinte psychosomatique, il y a également lieu de prendre en compte les effets de l'environnement social. L’incapacité de travail ne doit pas être essentiellement le résultat de facteurs socio- culturels. Au demeurant, pour l'évaluation des ressources de l'assuré, il y a lieu de tenir compte de celles qu'il peut tirer de son environnement, notamment du soutien dont il bénéficie éventuellement dans son réseau social (arrêt op.cit. consid. 4.3.3). Dans la catégorie « cohérence », notre Haute Cour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 qu’il convient d’effectuer une comparaison des activités sociales avant et après la survenance de l’atteinte à la santé.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w:t>
      </w:r>
    </w:p>
    <w:p>
      <w:r>
        <w:t>A/1178/2017 - 15/19 -</w:t>
      </w:r>
    </w:p>
    <w:p>
      <w:r>
        <w:rPr>
          <w:b/>
        </w:rPr>
        <w:t>E. 6</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A/1178/2017 - 16/19 -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il convient d’examiner en premier lieu, la valeur probante des expertises judiciaires. Les rapports des Drs L______ et M______ répondent aux réquisits pour se voir reconnaître une pleine valeur probante. Contrairement à ce qu’a fait valoir l’intimé, le courrier du Dr L______ du 23 avril 2020 constitue une appréciation consensuelle du cas portant sur un examen global de l'état de santé et de la capacité de travail de l'assurée par les experts psychiatre et rhumatologue. L’examen des indicateurs développés par le Tribunal fédéral a été effectué par l’expert psychiatre dans son rapport du 18 août 2019, ce qui relevait de sa compétence, et celui-ci n’a pas retenu que l’expertisée était incapable de travailler sous l’angle purement psychiatrique, tout en réservant l’appréciation globale du cas, selon les conclusions de l’expert rhumatologue. Après avoir eu connaissance de ces dernières, le Dr L______ a conclu, de manière consensuelle avec l’expert rhumatologue, que la recourante était totalement incapable de travailler en raison de l’ensemble de ses atteintes physiques et psychiques, retenant que l’ensemble de ses atteintes réduisait ses ressources. L’intimé a fait valoir, à tort, que les experts ne pouvaient pas additionner des diagnostics qui en soi n’étaient pas incapacitants, car les experts ont bien précisé que c’était l’ensemble des atteintes dont souffraient l’expertisée, et en particulier les atteintes physiques, qui la rendaient totalement incapable de travailler, en motivant leurs conclusions de façon convaincante. Le fait que la Dresse G______ retienne un autre diagnostic que l’expert psychiatre ne suffit pas à remettre en cause les conclusions de ce dernier, qui sont bien motivées et convaincantes sur ce point. Il convient ainsi de retenir que les expertises judiciaires sont probantes.</w:t>
      </w:r>
    </w:p>
    <w:p>
      <w:r>
        <w:rPr>
          <w:b/>
        </w:rPr>
        <w:t>E. 9</w:t>
      </w:r>
    </w:p>
    <w:p>
      <w:r>
        <w:t>Sur cette base, il y a lieu de retenir que la recourante était totalement incapable de travailler dans toute activité dès décembre 2015.</w:t>
      </w:r>
    </w:p>
    <w:p>
      <w:r>
        <w:rPr>
          <w:b/>
        </w:rPr>
        <w:t>E. 10</w:t>
      </w:r>
    </w:p>
    <w:p>
      <w:r>
        <w:t>Il faut encore déterminer son taux d’invalidité. a. Lorsqu'il convient d'évaluer l'invalidité d'un assuré d'après la méthode mixte, l'invalidité des assurés qui n'exercent que partiellement une activité lucrative est, pour cette part, évaluée selon la méthode ordinaire de comparaison des revenus</w:t>
      </w:r>
    </w:p>
    <w:p>
      <w:r>
        <w:t>A/1178/2017 - 17/19 -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 5.1 et 5.2). b.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La mise en oeuvre d'une enquête ménagère n'est toutefois pas imposée par le droit fédéral (arrêt du Tribunal fédéral des assurances I 99/00 du 26 octobre 2000 consid. 3c in VSI 2001 p. 155). Il n'y a pas lieu de procéder à un acte administratif qu'une appréciation</w:t>
      </w:r>
    </w:p>
    <w:p>
      <w:r>
        <w:t>A/1178/2017 - 18/19 - anticipée des preuves désigne clairement comme inutile (arrêt du Tribunal fédéral 9C_103/2010 du 2 septembre 2010). c. Pour la part professionnelle,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w:t>
      </w:r>
    </w:p>
    <w:p>
      <w:r>
        <w:rPr>
          <w:b/>
        </w:rPr>
        <w:t>E. 11</w:t>
      </w:r>
    </w:p>
    <w:p>
      <w:r>
        <w:t>En l’espèce, la recourante a un statut mixte (80,52% part professionnelle, 19,48% part ménagère). Elle est incapable de travailler à 100% dans la sphère professionnelle, de sorte que son taux d’invalidité dans cette sphère est de 80,52%. Il n’y a pas lieu de déterminer sa capacité de travail dans la sphère ménagère, car même si on retenait qu’elle était totalement capable de faire ses activités ménagères, son taux d’invalidité global serait de 80,52%, ce qui lui ouvrirait le droit à une rente entière d’invalidité, étant rappelé qu’en vertu de l’art. 28 al. 2 LAI, l’assuré a droit à une rente entière s’il est invalide à 70% au moins. Le droit à la rente de la recourante est né le 1er décembre 2016, soit le 1er jour du mois au cours duquel s’est terminé le délai d’un an après le début de l’incapacité totale de travail durable (décembre 2015 selon les experts), étant relevé que le délai six mois après le dépôt de la demande de prestations, qui est intervenu le 8 janvier 2016, s’est achevé en juillet 2016 En conclusion, la recourante a droit à une rente entière d’invalidité dès le 1er décembre 2016.</w:t>
      </w:r>
    </w:p>
    <w:p>
      <w:r>
        <w:rPr>
          <w:b/>
        </w:rPr>
        <w:t>E. 12</w:t>
      </w:r>
    </w:p>
    <w:p>
      <w:r>
        <w:t>Au vu de ce qui précède, le recours sera admis et la décision du 3 mars 2017 sera annulée.</w:t>
      </w:r>
    </w:p>
    <w:p>
      <w:r>
        <w:rPr>
          <w:b/>
        </w:rPr>
        <w:t>E. 13</w:t>
      </w:r>
    </w:p>
    <w:p>
      <w:r>
        <w:t>La recourante obtenant gain de cause, une indemnité de CHF 3’000.- lui sera accordée à titre de participation à ses frais et dépens (art. 61 let. g LPGA; art. 6 du règlement sur les frais, émoluments et indemnités en matière administrative du 30 juillet 1986 [RFPA - E 5 10.03]).</w:t>
      </w:r>
    </w:p>
    <w:p>
      <w:r>
        <w:rPr>
          <w:b/>
        </w:rPr>
        <w:t>E. 14</w:t>
      </w:r>
    </w:p>
    <w:p>
      <w:r>
        <w:t>Au vu du sort du recours, il y a lieu de condamner l'intimé au paiement d'un émolument de CHF 200.- (art. 69 al. 1bis LAI).</w:t>
      </w:r>
    </w:p>
    <w:p>
      <w:r>
        <w:t>A/1178/2017 - 19/19 -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