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ATAS/820/2018 vom 18. September 2018</w:t>
      </w:r>
    </w:p>
    <w:p>
      <w:r>
        <w:t>GE Cour de justice, 2018-09-18, FR</w:t>
      </w:r>
    </w:p>
    <w:p>
      <w:r>
        <w:rPr>
          <w:b/>
        </w:rPr>
        <w:t xml:space="preserve">Quelle: </w:t>
      </w:r>
      <w:r>
        <w:t>https://mcp.opencaselaw.ch/entscheid/ge_gerichte_ATAS_820_2018</w:t>
      </w:r>
    </w:p>
    <w:p>
      <w:r>
        <w:t>FR: GE_GERICHTE ATAS/820/2018 du 18 septembre 2018</w:t>
      </w:r>
    </w:p>
    <w:p>
      <w:r>
        <w:t>IT: GE_GERICHTE ATAS/820/2018 del 18 settembre 2018</w:t>
      </w:r>
    </w:p>
    <w:p>
      <w:pPr>
        <w:pStyle w:val="Heading2"/>
      </w:pPr>
      <w:r>
        <w:t>Erwägungen</w:t>
      </w:r>
    </w:p>
    <w:p>
      <w:r>
        <w:rPr>
          <w:b/>
        </w:rPr>
        <w:t>E. 1</w:t>
      </w:r>
    </w:p>
    <w:p>
      <w:r>
        <w:t>Dans son arrêt incident du 21 juin 2016, la chambre de céans a déjà tranché les questions de sa compétence et de la recevabilité du recours, de sorte qu’il n’y a pas lieu de revenir sur ces points.</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A/598/2016 - 11/19 -</w:t>
      </w:r>
    </w:p>
    <w:p>
      <w:r>
        <w:rPr>
          <w:b/>
        </w:rPr>
        <w:t>E. 3</w:t>
      </w:r>
    </w:p>
    <w:p>
      <w:r>
        <w:t>Est litigieux le droit du recourant à une rente entière d’invalidité après le 31 décembre 2014, respectivement l’évaluation de ses limitations fonctionnelles et de sa capacité de travail dans une activité adaptée à celles-ci.</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A/598/2016 - 12/19 -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A/598/2016 - 13/19 - expertise judiciaire (ATF 135 V 465 consid. 4 ; arrêt du Tribunal fédéral 9C_301/2013 du 4 septembre 2013 consid. 3). d.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 cf. ATF 130 III 321 consid. 3.2 et 3.3).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arrêt du Tribunal fédéral 9C_719/2016 consid. 5.2.2). Aussi n’existe-t-il pas, en droit des assurances sociales, un principe selon lequel l’administration ou le juge devrait statuer, dans le doute, en faveur de l’assuré (ATF 126 V 319 consid. 5a).</w:t>
      </w:r>
    </w:p>
    <w:p>
      <w:r>
        <w:t>A/598/2016 - 14/19 -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w:t>
      </w:r>
    </w:p>
    <w:p>
      <w:r>
        <w:rPr>
          <w:b/>
        </w:rPr>
        <w:t>E. 7</w:t>
      </w:r>
    </w:p>
    <w:p>
      <w:r>
        <w:t>a. En l’espèce, le recourant dénie toute valeur probante au rapport du SMR du 17 août 2015 au motif qu’il est lacunaire. Il fait également grief à l’intimé de ne pas avoir donné suite à l’avis du SMR du 14 juillet 2014 préconisant la mise en œuvre d’une expertise. Pour sa part, l’intimé considère que le rapport d’expertise du Dr G______ ne fait que confirmer les conclusions du SMR d’août 2015 et que, dans la mesure où les divers accidents n’ont pas provoqué de lésions osseuses, ils</w:t>
      </w:r>
    </w:p>
    <w:p>
      <w:r>
        <w:t>A/598/2016 - 15/19 - n’ont affecté que temporairement la capacité de travail du recourant, soit tout au plus durant six mois après chaque traumatisme. Par ailleurs, l’intimé estime qu’il peut reprendre l’appréciation de l’incapacité de travail faite par l’assurance-accidents au vu du principe d’uniformité de la notion d’invalidité en matière d’assurance-accidents et d’assurance-invalidité. b. Depuis le 1er janvier 2003, la définition de l’invalidité est uniformément codifiée à l’art. 8 LPGA.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Un peu plus tard, le Tribunal fédéral a admis la réciprocité de cette règle à l'égard de l'assurance-invalidité en jugeant que celle-ci n'était pas liée par l'évaluation de l'invalidité de l'assurance-accidents au sens de l'arrêt ATF 126 V 288 (ATF 133 V 549 consid. 6). En l’occurrence, dans la mesure où le recourant, en se référant à l'arrêt ATF 126 V 288, laisse entendre que l'assurance-invalidité est liée, en principe, par l’évaluation de l’invalidité de l’assurance-accidents et qu’il n’existerait aucun motif de s’écarter de l’appréciation de la capacité de travail faite par la SUVA, son argumentation n’est pas pertinente (cf. pour un cas similaire : arrêt du Tribunal fédéral 9C_529/2010 du 24 janvier 2011 consid. 3.3). Elle l’est d’autant moins que la SUVA a mis un terme à la prise en charge des divers accidents du recourant, par décision entrée en force du 9 octobre 2017 qui est bien postérieure à la décision litigieuse. De plus, les conclusions du rapport d’expertise du Dr G______, sur lesquelles elle se base, font état de troubles antérieurs aux divers accidents, plus précisément d’arthrose aux chevilles et aux genoux dans un contexte de surpoids, de pieds plats, d’antécédents d’entorses et de fracture du calcanéum, ainsi que d’une gonarthrose droite qui se poursuit inexorablement depuis 2007 en raison d’un varus et d’un surpoids important. Or, dans ladite expertise, au vu de ses conclusions quant à l’atteinte du statu quo sine six mois après tous les accidents litigieux, le Dr G______ ne procède à aucun moment à l’évaluation de la capacité de travail du recourant, ni dans son activité antérieure, ni dans une activité adaptée, pas plus qu’il ne définit ses limitations fonctionnelles. Par conséquent, la décision entrée en force de la SUVA et le rapport d’expertise sur lequel elle s’appuie ne traitent pas de la capacité de travail du recourant et de ses limitations fonctionnelles, de sorte qu’ils n’ont aucune incidence sur le sort de la présente procédure et ne pouvaient pas dispenser l’intimé de procéder à sa propre évaluation du degré d’invalidité du recourant. c. Quant à l’avis du SMR du 14 juillet 2014 invoqué par le recourant, il ne s’agit nullement d’un rapport du SMR, mais d’une demande d’avis SMR faite par le gestionnaire de l’intimé qui s’interrogeait sur la nécessite de procéder à une telle expertise.</w:t>
      </w:r>
    </w:p>
    <w:p>
      <w:r>
        <w:t>A/598/2016 - 16/19 - Aussi y a-t-il lieu d’examiner la valeur probante des rapports médicaux sur lesquelles l’intimé se base pour établir la capacité de travail du recourant et ses limitations fonctionnelles dans une activité adaptée.</w:t>
      </w:r>
    </w:p>
    <w:p>
      <w:r>
        <w:rPr>
          <w:b/>
        </w:rPr>
        <w:t>E. 8</w:t>
      </w:r>
    </w:p>
    <w:p>
      <w:r>
        <w:t>septembre 2014, consécutif à son examen du 27 août 2014, qui a eu lieu deux ans et demi avant l’émission de la décision de l’intimé. Or, cette évaluation ne concerne que les troubles du genou droit, puisque le médecin d’arrondissement considère que les entorses de la cheville gauche avaient cessé leurs effets délétères au plus tard à la date de l’examen. Par la suite, selon le rapport du Dr E______ du 29 octobre 2015, l’arthrose des deux genoux a évolué défavorablement avec la présence d’un pincement articulaire important en interne à gauche et plus marqué en interne à droite. Cette conclusion est confirmée par le rapport d’expertise du Dr G______, qui relève que la gonarthrose bilatérale se poursuit inexorablement en raison d’un varus et surtout d’une importante surcharge pondérale et qu’on peut se demander s’il y a réellement eu des entorses et s’il ne s’agit pas plutôt simplement de décompensation subite douloureuse classique en cas d’arthrose du genou chez une personne présentant une obésité pathologique. Dans son rapport du 23 octobre 2017, le Dr F______ fait également état d’une aggravation progressive des troubles des chevilles et des genoux. Il précise que l’évolution après les ostéotomies de valgisation s’est faite vers une gonarthrose bilatérale très sévère à droite avec un pincement complet de l’interligne fémoro-tibial interne et une arthrose bilatérale des chevilles avec pincement tibio-astragalien externe plus marqué à droite. Par conséquent, au vu de l’aggravation progressive de l’état de santé du recourant, qui touche tant les genoux que les chevilles, l’évaluation du Dr D______ du 8 septembre 2014 n’est plus d’actualité et ne peut en aucun cas permettre une évaluation de la capacité de travail du recourant dans une activité adaptée à ses limitations fonctionnelles tenant compte de toutes ses atteintes à la santé dès lors qu’elle se limite à examiner les effets de l’atteinte au genou droit à fin août 2014. L’avis du SMR du 17 août 2015 sur lequel l’intimé s’est basé pour étayer la décision litigieuse retient une capacité de travail nulle dans toute activité, du 27 février 2012 au 7 septembre 2014, et une capacité de travail entière dans une activité adaptée aux limitations fonctionnelles dès le 8 septembre 2014, soit dès la date du rapport d’examen du Dr D______. Pour les mêmes motifs que ceux mentionnés concernant celui-ci, il ne peut en aucun cas permettre à l’intimé de statuer en toute connaissance de cause sur l’évolution de l’état de santé du recourant jusqu’à l’émission de la décision litigieuse, respectivement sur sa capacité de travail exigible et ses limitations fonctionnelles. Quant à l’avis du SMR du 10 avril 2018, il considère que le rapport d’expertise du Dr G______ confirme les évaluations précédentes, à savoir que les accidents survenus en 2012 et 2014 n’ont pas eu de conséquences durables, que la capacité de travail n’a été que très temporairement affectée tout au plus pendant six mois après chaque accident, que les traumatismes n’ont pas entraîné de nouvelles lésions</w:t>
      </w:r>
    </w:p>
    <w:p>
      <w:r>
        <w:t>A/598/2016 - 17/19 - osseuses et que, dès lors, l’aggravation n’a été que subjective. Il estime également que dans son rapport du 23 octobre 2017, le Dr F______ fait état d’une possible aggravation de l’état de santé du recourant sans toutefois fournir d’éléments médicaux objectifs, de sorte que les signes d’une éventuelle aggravation ne sont que subjectifs. Contrairement à ce que soutient le SMR, le rapport d’expertise du Dr G______ ne conclut nullement à une aggravation subjective des troubles du recourant. Au contraire, il compare les différents examens radiologiques et observe qu’ils objectivent une aggravation de la gonalgie bilatérale qui se poursuit inexorablement en raison d’un varus et surtout d’une importante surcharge pondérale. De plus, il ne se prononce nullement sur la capacité de travail du recourant, mais sur le lien de causalité naturelle entre les troubles du recourant et les divers traumatismes, qu’il estime éteint six mois après chaque traumatisme. Quant au rapport du Dr F______ du 23 octobre 2017, il diagnostique une gonarthrose bilatérale très sévère à droite avec un pincement complet de l’interligne fémoro-tibial interne et une arthrose bilatérale des chevilles avec pincement tibio-astragalien externe plus marqué à droite, en se référant précisément à des signes objectifs ressortant des divers examens radiologiques. Par conséquent, l’avis du SMR du 10 avril 2018 ne tient pas compte des éléments objectifs du dossier, mais se base sur une appréciation subjective qui n’a aucune valeur probante. S’agissant de l’évaluation de la capacité de travail du recourant tenant compte de tous les troubles dont il souffre, seul le rapport du Dr E______ du 12 février 2016 se prononce à ce sujet. Il conclut à une incapacité de travail entière jusqu’au 23 octobre 2015 et éventuellement à une capacité de travail de 50 % dès cette date. Il précise également que le recourant n’a pas retrouvé une capacité de travail entière dans une activité adaptée dès le 8 septembre 2014. Toutefois, cette évaluation n’est pas motivée, de sorte qu’elle n’a pas de valeur probante. Contrairement à ce que soutient le recourant, le rapport du Dr F______ ne conclut nullement à une incapacité de travail de 100 % mais fait état d’une invalidation progressive justifiant une révision du taux d’invalidité, sans se prononcer plus précisément sur sa capacité de travail. Par conséquent, faute de précision sur cette question, il ne permet pas davantage d’apprécier la capacité de travail exigible du recourant dans une activité adaptée à ses limitations fonctionnelles.</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w:t>
      </w:r>
    </w:p>
    <w:p>
      <w:r>
        <w:t>A/598/2016 - 18/19 -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l’espèce, au vu de l’absence de valeur probante des rapports du SMR et des chirurgiens-orthopédistes, ainsi que du rapport du D______, l’intimé aurait dû procéder à l’instruction médicale du cas, ce qu’il n’a pas fait, de sorte que son instruction de l’état de fait est lacunaire, voire inexistante. Faute de toute instruction sur la capacité de travail et les limitations fonctionnelles du recourant, ainsi que sur l’évolution de son état de santé, la cause doit être renvoyée à l’intimé pour mise en œuvre d’une expertise orthopédique.</w:t>
      </w:r>
    </w:p>
    <w:p>
      <w:r>
        <w:rPr>
          <w:b/>
        </w:rPr>
        <w:t>E. 10</w:t>
      </w:r>
    </w:p>
    <w:p>
      <w:r>
        <w:t>Il se justifie, en conséquence, d’admettre le recours, d’annuler la décision du 20 janvier 2016 et de renvoyer la cause à l’intimé pour instruction complémentaire au sens des considérants, puis nouvelle décision. Le recourant étant représenté par un avocat et obtenant gain de cause, une indemnité de CHF 2'500.-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 * * * * * *</w:t>
      </w:r>
    </w:p>
    <w:p>
      <w:r>
        <w:t>A/598/2016 - 19/19 -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