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ATAS/820/2010 vom 7. Mai 2009</w:t>
      </w:r>
    </w:p>
    <w:p>
      <w:r>
        <w:t>GE Cour de justice, 2009-05-07, FR</w:t>
      </w:r>
    </w:p>
    <w:p>
      <w:r>
        <w:rPr>
          <w:b/>
        </w:rPr>
        <w:t xml:space="preserve">Quelle: </w:t>
      </w:r>
      <w:r>
        <w:t>https://mcp.opencaselaw.ch/entscheid/ge_gerichte_ATAS_820_2010</w:t>
      </w:r>
    </w:p>
    <w:p>
      <w:r>
        <w:t>FR: GE_GERICHTE ATAS/820/2010 du 7 mai 2009</w:t>
      </w:r>
    </w:p>
    <w:p>
      <w:r>
        <w:t>IT: GE_GERICHTE ATAS/820/2010 del 7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A/2926/2009 5/6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12 juillet 1994, d’autre part le 3 juillet 2009, date à laquelle le jugement de divorce est devenu exécutoire.</w:t>
      </w:r>
    </w:p>
    <w:p>
      <w:r>
        <w:rPr>
          <w:b/>
        </w:rPr>
        <w:t>E. 4</w:t>
      </w:r>
    </w:p>
    <w:p>
      <w:r>
        <w:t>Selon les documents produits, la prestation acquise pendant le mariage par le demandeur est de 71'778 fr. 75 de laquelle il convient de déduire celle accumulée jusqu'au moment du mariage de 14'880 fr. 55, les intérêts ayant déjà été calculés par les institutions de prévoyance défenderesses. La prestation acquise pendant le mariage par le demandeur est ainsi de 56'898 fr. 20 (71'778 fr. 75 - 14'880 fr. 55), tandis que celle acquise par la demanderesse est de 22'114 fr., étant précisé qu'elle n'a pas accumulé d'avoir LPP avant le mariage compte tenu de son âge. Ainsi le demandeur doit à son ex-épouse le montant de 28'449 fr. 10 (56'898 fr. 20 : 2) et celle-ci doit à celui-là le montant de 11'057 fr. (22'114 fr. : 2), de sorte que c’est le demandeur qui doit à la demanderesse le montant de 17'392 fr. 10 (28'449 fr. 10 - 11'057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A/2926/2009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