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ATAS/820/2007 vom 18. Juli 2007</w:t>
      </w:r>
    </w:p>
    <w:p>
      <w:r>
        <w:t>GE Cour de justice, 2007-07-18, FR</w:t>
      </w:r>
    </w:p>
    <w:p>
      <w:r>
        <w:rPr>
          <w:b/>
        </w:rPr>
        <w:t xml:space="preserve">Quelle: </w:t>
      </w:r>
      <w:r>
        <w:t>https://mcp.opencaselaw.ch/entscheid/ge_gerichte_ATAS_820_2007</w:t>
      </w:r>
    </w:p>
    <w:p>
      <w:r>
        <w:t>FR: GE_GERICHTE ATAS/820/2007 du 18 juillet 2007</w:t>
      </w:r>
    </w:p>
    <w:p>
      <w:r>
        <w:t>IT: GE_GERICHTE ATAS/820/2007 del 18 luglio 2007</w:t>
      </w:r>
    </w:p>
    <w:p>
      <w:pPr>
        <w:pStyle w:val="Heading2"/>
      </w:pPr>
      <w:r>
        <w:t>Erwägungen</w:t>
      </w:r>
    </w:p>
    <w:p>
      <w:r>
        <w:rPr>
          <w:b/>
        </w:rPr>
        <w:t>E. 1</w:t>
      </w:r>
    </w:p>
    <w:p>
      <w:r>
        <w:t>Conformément à l’art. 56V al. 1 let. a ch. 2 LOJ, le Tribunal connaît en instance unique des contestations prévues à l’art. 56 de la loi sur la partie générale du droit des assurances sociales du 6 octobre 2000 (LPGA) relatives notamment à la loi fédérale sur l’assurance-invalidité du 19 juin 1959 (ci-après : LAI). Sa compétence pour juger du cas d’espèce est ainsi établie.</w:t>
      </w:r>
    </w:p>
    <w:p>
      <w:r>
        <w:rPr>
          <w:b/>
        </w:rPr>
        <w:t>E. 2</w:t>
      </w:r>
    </w:p>
    <w:p>
      <w:r>
        <w:t>Interjeté dans les forme et délai légaux, le recours est recevable (art. 56, 59 et 60 LPGA).</w:t>
      </w:r>
    </w:p>
    <w:p>
      <w:r>
        <w:rPr>
          <w:b/>
        </w:rPr>
        <w:t>E. 3</w:t>
      </w:r>
    </w:p>
    <w:p>
      <w:r>
        <w:t>En vertu de l'art. 40 al. 2 du règlement sur l'assurance-invalidité du 17 janvier 1961 (RAI), l'office AI du secteur d'activité dans lequel le frontalier exerce une activité lucrative est compétent pour enregistrer et examiner les demandes déposées par les frontaliers. Les décisions sont notifiées par l'office AI pour les assurés résidant à l'étranger.</w:t>
      </w:r>
    </w:p>
    <w:p>
      <w:r>
        <w:t>A/3621/2006 - 9/15 - En l'occurrence, la demande a été enregistrée et instruite par l'OCAI et les décisions notifiées par l'Office AI pour les assurés résidant à l'étranger, conformément à la disposition légale précitée. Les décisions en cause ont dès lors été rendues par l'autorité compétente au sens de la loi.</w:t>
      </w:r>
    </w:p>
    <w:p>
      <w:r>
        <w:rPr>
          <w:b/>
        </w:rPr>
        <w:t>E. 4</w:t>
      </w:r>
    </w:p>
    <w:p>
      <w:r>
        <w:t>Est litigieux en l'occurrence le degré d'invalidité de la recourante, à compter du 1er octobre 2003.</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en vertu de l'art. 28 al. 2bis LAI. Selon l’art. 4 LAI, l'invalidité peut résulter d'une infirmité</w:t>
      </w:r>
    </w:p>
    <w:p>
      <w:r>
        <w:t>A/3621/2006 - 10/15 -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7</w:t>
      </w:r>
    </w:p>
    <w:p>
      <w:r>
        <w:t>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En vertu de l'art. 28 al. 1 LAI dans sa teneur dès le 1er janvier 2004, 40 % d'invalidité donnent droit à un quart de rente, 50 % au moins à une demi-rente, 60 % au moins à une rente de trois-quarts et 70 % au moins à une rente entière.</w:t>
      </w:r>
    </w:p>
    <w:p>
      <w:r>
        <w:rPr>
          <w:b/>
        </w:rPr>
        <w:t>E. 8</w:t>
      </w:r>
    </w:p>
    <w:p>
      <w:r>
        <w:t>a)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 bis RAI). b) En l'espèce, la recourante a toujours travaillé à 100 % jusqu'en décembre 1999. A partir de juin 2001, son employeur actuel aurait été disposé à l'engager à 100 %, au lieu du taux de 80 %. Cependant, à cause de son état de santé déficient, la recourante n'a pas pu accepter l'augmentation du temps de travail proposée. Il convient par conséquent d'admettre que la recourante aurait travaillé à temps complet, sans invalidité, et ainsi évaluer celle-ci uniquement en fonction d'une personne exerçant une activité lucrative.</w:t>
      </w:r>
    </w:p>
    <w:p>
      <w:r>
        <w:rPr>
          <w:b/>
        </w:rPr>
        <w:t>E. 9</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w:t>
      </w:r>
    </w:p>
    <w:p>
      <w:r>
        <w:t>A/3621/2006 - 11/15 -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10</w:t>
      </w:r>
    </w:p>
    <w:p>
      <w:r>
        <w:t>En l'occurrence, la recourante a repris son activité professionnelle à 50% dès le 30 juin 2003. Partant, il convient d'admettre une amélioration de l'état de santé dès cette date et que, en application de l'art. 88a al. 1 RAI précité, cette amélioration était durable après l'écoulement d'une période de trois mois. Il s'ensuit que ce changement de l'état de santé autorise une suppression de la rente entière dès le 1er octobre 2003. La décision attaquée n'est dès lors pas critiquable sur ce point.</w:t>
      </w:r>
    </w:p>
    <w:p>
      <w:r>
        <w:rPr>
          <w:b/>
        </w:rPr>
        <w:t>E. 11</w:t>
      </w:r>
    </w:p>
    <w:p>
      <w:r>
        <w:t>S'agissant de sa capacité de travail à compter de cette date, la recourante conteste être capable de travailler à 60 %, même si elle pouvait considérablement diminuer ses trajets pour se rendre à son travail. Elle relève en particulier que la Dresse G__________ du SMR a retenu, dans son rapport d'examen du 4 avril 2006, que c'est seulement "éventuellement" qu'elle pourrait augmenter son taux de travail de 50% à 60%, si elle raccourcissait ses déplacements. Il y aurait ainsi un doute quant à sa possibilité de reprendre concrètement une activité à un taux supérieur. Il est vrai que la Dresse G__________ a utilisé le terme "éventuellement", à la fin de son rapport à la page 7, dans lequel elle conclut à une capacité de travail de 60%. Cependant, c'est un fait, non contesté, que la recourante travaille depuis le 30 juin 2003 à 50%, tout en effectuant tous les jours des trajets entre deux heures et deux heures et demi. Compte tenu de cette circonstance, il convient d'admettre que la Dresse G__________ a considéré à raison que la recourante pourrait présenter une capacité de travail supérieure, si la durée des trajets diminuait, dans la mesure où ces trajets augmentent la fatigue et où la position assise prolongée est proscrite en raison des handicaps relevés. Il résulte en effet des considérations de ce médecin au sujet de la capacité de travail exigible, à la page 7 de son rapport, que l'activité adaptée doit permettre de changer librement les positions, ce que la conduite d'un véhicule à moteur n'autorise assurément pas. La prise en compte de la durée des trajets ne saurait pas non plus être considérée comme discriminatoire vis-à-vis des frontaliers. En effet, les mêmes principes devraient être retenus pour un assuré résidant en Suisse qui doit effectuer de longs trajets pour se rendre à son travail, alors même qu'un changement de domicile ou d'emploi serait exigible.</w:t>
      </w:r>
    </w:p>
    <w:p>
      <w:r>
        <w:rPr>
          <w:b/>
        </w:rPr>
        <w:t>E. 12</w:t>
      </w:r>
    </w:p>
    <w:p>
      <w:r>
        <w:t>a) En ce qui concerne la question de savoir si un changement d'emploi pourrait être attendu de la recourante, il convient de relever en premier lieu que la loi se fonde sur un marché équilibré du travail (art. 16 LPGA). Il s'agit d'une notion théorique et</w:t>
      </w:r>
    </w:p>
    <w:p>
      <w:r>
        <w:t>A/3621/2006 - 12/15 -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le marché équilibré étant une notion théorique, il suffit d’examiner quelle est (ou quelle serait) – sur un marché du travail supposé équilibré – l’activité raisonnablement exigible dans laquelle l’invalide peut (ou pourrait) mettre à profit sa capacité résiduelle de gain ; il importe peu, à cet égard, que l’assuré soit domicilié à l’étranger.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objectives des revenus en question (ATF 110 V 273 consid.4b). b) Il résulte de ce qui précède que la comparaison des revenus déterminant doit se faire sur le marché du travail de Genève. Il convient par ailleurs d'admettre qu'un emploi plus proche de son domicile, sur la rive gauche de Genève, permettrait à la recourante de diminuer considérablement la durée des trajets et ainsi d'augmenter son taux de travail à 60 %. Dans la pratique, compte tenu de son âge, il faut certes lui concéder qu'il est pour le moins incertain qu'elle pourrait encore trouver un nouvel emploi et qu'elle a dès lors tout intérêt à garder son emploi actuel. Dans l'évaluation de l'invalidité, ce facteur ne peut toutefois être pris en considération, dans la mesure où il relève du marché de l'emploi. En outre, il est tout à fait exigible que la recourante change de domicile pour se rapprocher de son lieu de travail actuel et éviter ainsi de devoir traverser toute la ville pour s'y rendre. Il est vrai que, en raison de la pénurie des logements à Genève, il paraît invraisemblable qu'elle puisse y trouver un appartement. Cependant, la prise d'un domicile au Pays de Gex en France voisine lui permettrait également de raccourcir de façon notable la durée des trajets, son employeur étant situé au Lignon. Un tel changement de domicile doit être considéré comme exigible, même si la recourante est propriétaire de la maison qu'elle habite. Elle ne saurait dès lors s'opposer à un changement de résidence, aux frais de l'assurance sociale.</w:t>
      </w:r>
    </w:p>
    <w:p>
      <w:r>
        <w:rPr>
          <w:b/>
        </w:rPr>
        <w:t>E. 13</w:t>
      </w:r>
    </w:p>
    <w:p>
      <w:r>
        <w:t>Reste à déterminer la perte de gain. a) Chez les assurés actifs, le degré d'invalidité doit être déterminé sur la base d'une comparaison des revenus. Pour cela, le revenu du travail que l'invalide pourrait obtenir en exerçant l'activité qu'on peut raisonnablement attendre de lui, après</w:t>
      </w:r>
    </w:p>
    <w:p>
      <w:r>
        <w:t>A/3621/2006 - 13/15 -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La recourante travaille actuellement à 50 %, alors qu'elle possède une capacité de travail résiduelle de 60 %. Son employeur a par ailleurs informé le Tribunal de céans qu'il ne pourrait offrir à son employée un poste à 60 %. Dès lors qu'il paraît très difficile, même dans un marché de travail équilibré, de trouver une activité accessoire à 10 %, il convient de déterminer en l'espèce le salaire d'invalide sur la base des statistiques au taux de 60%. Vu l'engagement de la recourante en tant que secrétaire de direction, il sied de considérer qu'elle dispose de connaissances professionnelles spécialisées, même si elle n'est pas en possession d'un CFC. Partant, il y a lieu de se fonder sur les salaires statistiques concernant les femmes avec un niveau de qualification 3, soit sur un salaire mensuel de 4'743 fr. en 2002, ce qui correspond à un salaire annuel de 56'916 fr. (cf. L'enquête suisse sur la structure des salaires 2002, TA1 p. 43). Comme les salaires bruts standardisés tiennent compte d'un horaire de travail de 40 heures, soit une durée hebdomadaire inférieure à la moyenne usuelle dans les entreprises en 2003 (41,7 heures; La Vie économique, 10-2004, p. 90, B9.2), ce montant doit être porté à 59'335 fr. Après adaptation de ce chiffre à l'évolution des</w:t>
      </w:r>
    </w:p>
    <w:p>
      <w:r>
        <w:t>A/3621/2006 - 14/15 - salaires selon l'indice des salaires nominaux pour les femmes de l'année 2003 (cf. La Vie économique, 10-2004, p. 91, B10.3), on obtient un revenu annuel de 60'317 fr., soit au taux de 60% de 36'190 fr. Dès lors que la recourante n'a subi, proportionnellement, aucune diminution de son salaire du fait de la réduction du taux de capacité (au contraire, celui-ci a proportionnellement augmenté), il n'y a pas non plus lieu de procéder à une diminution de ce salaire statistique. Le salaire sans invalidité étant de 67'340 fr. en 2003, la perte de gain s'établit à 46,26 %. Toutefois en comparant le salaire sans invalidité à 100% qu'elle aurait réalisé en 2003 avec celui qu'elle gagnait en 2004, soit 42'900, la perte de gain ne s'établit qu'à 36,86%, en adaptant le salaire sans invalidité en 2003 à l'évolution des salaires en 2004 (indice 0,9%; La vie économique 1/2 -2006, p. 95, B 10.2), ce qui donne un montant de 67'946 fr. Se pose dès lors la question d'une reformatio in pejus de la décision attaquée pour la période à compter du 1er janvier 2004. Il ne s'agit toutefois que d'une faculté dont il n'y a pas lieu de faire usage en l'espèce (ATF 119 V 241 consid. 5). En effet, même si le Tribunal de céans a quelques doutes quant à la réalité de la promotion de la recourante que celle-ci n'a jamais mentionnée et qui parait étrange au vu des circonstances (diminution du taux d'activité et détérioration de santé) et qu'il se pose des questions sur le salaire très élevé pour une secrétaire de direction, qui correspond à 7000 fr. pour un 100% en 2006, il convient d'admettre qu'elle aurait été a fortiori également promue secrétaire de direction, si elle n'avait pas eu des problèmes de santé, de sorte que le salaire sans invalidité à prendre en compte aurait été aussi supérieur. Par ailleurs, la perte de gain établie sur la base de son salaire en 2004 ne se situe que peu en dessous du seuil de 40% et une perte de gain ne peut de toute manière pas être établie de façon scientifique au pourcentage près. Partant, la décision dont est recours n'est pas critiquable en ce qu'elle a diminué la rente entière de la recourante à un quart dès octobre 2003.</w:t>
      </w:r>
    </w:p>
    <w:p>
      <w:r>
        <w:rPr>
          <w:b/>
        </w:rPr>
        <w:t>E. 14</w:t>
      </w:r>
    </w:p>
    <w:p>
      <w:r>
        <w:t>Au vu de ce qui précède, le recours sera rejeté.</w:t>
      </w:r>
    </w:p>
    <w:p>
      <w:r>
        <w:rPr>
          <w:b/>
        </w:rPr>
        <w:t>E. 15</w:t>
      </w:r>
    </w:p>
    <w:p>
      <w:r>
        <w:t>L'émolument de 200 fr. est mis à la charge de la recourante qui succombe, en vertu de l'art. 69 al. 1 bis LAI, entré en vigueur le 1er juillet 2006.</w:t>
      </w:r>
    </w:p>
    <w:p>
      <w:r>
        <w:t>A/3621/2006 - 15/15 -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