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ATAS/81/2017 vom 2. Februar 2017</w:t>
      </w:r>
    </w:p>
    <w:p>
      <w:r>
        <w:t>GE Cour de justice, 2017-02-02, FR</w:t>
      </w:r>
    </w:p>
    <w:p>
      <w:r>
        <w:rPr>
          <w:b/>
        </w:rPr>
        <w:t xml:space="preserve">Quelle: </w:t>
      </w:r>
      <w:r>
        <w:t>https://mcp.opencaselaw.ch/entscheid/ge_gerichte_ATAS_81_2017</w:t>
      </w:r>
    </w:p>
    <w:p>
      <w:r>
        <w:t>FR: GE_GERICHTE ATAS/81/2017 du 2 février 2017</w:t>
      </w:r>
    </w:p>
    <w:p>
      <w:r>
        <w:t>IT: GE_GERICHTE ATAS/81/2017 del 2 febbraio 2017</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fédérales, la LPC et ses dispositions d'exécution fédérales et cantonale, ainsi que la LPGA et ses dispositions d'exécution, sont applicables par analogie en cas de silence de la législation cantonale (art. 1A LPCC).</w:t>
      </w:r>
    </w:p>
    <w:p>
      <w:r>
        <w:t>A/1851/2016 - 9/13 -</w:t>
      </w:r>
    </w:p>
    <w:p>
      <w:r>
        <w:rPr>
          <w:b/>
        </w:rPr>
        <w:t>E. 3</w:t>
      </w:r>
    </w:p>
    <w:p>
      <w:r>
        <w:t>Interjeté dans les forme et délai légaux, le recours est recevable (art. 56 à 61 LPGA; art. 9 de la loi cantonale du 14 octobre 1965 sur les prestations fédérales complémentaires à l'assurance-vieillesse et survivants et à l'assurance-invalidité [LPFC ; J 4 20] ; art. 43 LPCC).</w:t>
      </w:r>
    </w:p>
    <w:p>
      <w:r>
        <w:rPr>
          <w:b/>
        </w:rPr>
        <w:t>E. 4</w:t>
      </w:r>
    </w:p>
    <w:p>
      <w:r>
        <w:t>a) A teneur de l'art. 25 al. 1 1ère phrase LPGA, les prestations indûment touchées doivent être en principe restituées. L'assuré concerné peut toutefois demander la remise de l'obligation de restituer, à certaines conditions. La remise et son étendue ne pouvant être traitées que si la décision de restitution est entrée en force, elles font l'objet d'une procédure distincte (art. 4 al. 2 de l’ordonnance du 11 septembre 2002 sur la partie générale du droit des assurances sociales (OPGA); art 5C al. 2 LPFC et art. 15 du règlement relatif aux prestations cantonales complémentaires à l'assurance-vieillesse et survivants et à l'assurance-invalidité [RPCC-AVS/AI – RSG J 4 25.03]; ATF non publié C 264/05 du 25 janvier 2006, consid. 2.1; ATF non publié P 63/06 du 14 mars 2007, consid.3; ATF non publié 9C_211/2009 du 26 février 2010, consid. 3.1). b) En l’occurrence, l’intimé, par décision des 27 mars et 10 avril 2014, a requis du recourant la restitution de la somme de CHF 12'367.-. Le recourant a formulé une demande de remise dans le cadre de son opposition du 15 avril 2014. La décision sur opposition du 19 septembre 2014 a fait l’objet d'un recours retiré par l'assuré en cours de procédure, de sorte qu’elle est entrée en force et tranche définitivement le litige quant au caractère indu des prestations et au bien-fondé et à la quotité de la restitution. Seul reste donc litigieux à ce stade de la procédure le bien-fondé du rejet de la demande de remise de l’obligation de restituer. L’examen de la Cour de céans se limitera donc aux conditions de la remise de l’obligation de restituer la somme de CHF 12'367.-, en particulier à celle portant sur la bonne foi.</w:t>
      </w:r>
    </w:p>
    <w:p>
      <w:r>
        <w:rPr>
          <w:b/>
        </w:rPr>
        <w:t>E. 5</w:t>
      </w:r>
    </w:p>
    <w:p>
      <w:r>
        <w:t>a) Comme exposé précédemment, les prestations indûment touchées doivent être restituées, mais la restitution ne peut être exigée lorsque l'intéressé était de bonne foi et qu'elle le mettrait dans une situation difficile (art. 25 al. 1 LPGA). Ces deux conditions figurent également aux art. 4 al. 1 OPGA, 15 al. 1 RPCC- AVS/AI, 24 al. 1 LPCC et 5C al. 1 LPFC.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w:t>
      </w:r>
    </w:p>
    <w:p>
      <w:r>
        <w:t>A/1851/2016 - 10/13 - 13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Le devoir d’informer l’administration s’étend à tous les faits qui ont une importance pour le droit aux prestations.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Un assuré qui ne signale pas, pour avoir omis de le vérifier, comme nouveau revenu un versement rétroactif qui n’a pas été pris en compte à tort, commet une négligence grave qui exclut la bonne foi (VSI 1994 p. 129 ; ATAS/430/2007). S’appuyant notamment sur ces deux jurisprudences, le Tribunal cantonal des assurances sociales, alors compétent, a nié la bonne foi d’une assurée qui avait satisfait à l’obligation de renseigner mais qui n’avait pas attiré l’attention de l’administration sur le fait que ses prestations continuaient d’être versées sans tenir</w:t>
      </w:r>
    </w:p>
    <w:p>
      <w:r>
        <w:t>A/1851/2016 - 11/13 - compte du nouveau revenu, sous forme de rente, dont elle disposait (cf. ATAS/764/2007 rendu le 21 juin 2007 par le plenum de la juridiction). Dans un ATF non publié 9C_189/2012 du 21 août 2012, consid. 4, le Tribunal fédéral a considéré que, selon la jurisprudence (cf. arrêt P 42/92 consid. 5b, cité par ULRICH MEYER, Die Rückerstattung von Sozialversicherungsleistungen, RSJB 131/1995 p. 483), on peut attendre de l'intéressé qu'il décèle des erreurs manifestes et qu'il en fasse l'annonce à la caisse. Le manque de vigilance du recourant, qui a omis de contrôler la feuille de calcul et d'informer l'administration de l'erreur manifeste qu'elle venait de commettre, exclut par conséquent sa bonne foi (voir également l'ATF non publié 9C_498/2012 du 7 mars 2013, consid. 4.2). La Chambre de céans a déjà jugé que la condition de la bonne foi n'était pas réalisée dans le cas d'un bénéficiaire de prestations complémentaires qui avait correctement renseigné l'administration sur ses revenus, mais qui ne lui avait pas signalé son omission de prendre en considération l’un d’eux. La Cour a considéré que l'erreur n’aurait pu échapper à l'intéressé s'il avait examiné la décision avec le minimum de diligence que l'on pouvait attendre d'une personne capable de discernement placée dans une situation identique et dans les mêmes circonstances, quand bien même l'administration avait commis une erreur en ne tenant pas compte de ladite source de revenu (ATAS/430/2007 du 17 avril 2007).</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il est établi que le recourant a bénéficié d'allocations de logement durant la période litigieuse comprise entre le 1er janvier 2012 au 31 mars 2014. Il est également établi qu’il a bénéficié d'avances de pensions alimentaires du SCARPA jusqu'au 28 février 2013. Le recourant soutient avoir annoncé en 2009 qu'il bénéficiait de l'allocation de logement depuis 2007, avis de taxation 2007 et 2008 à l’appui. Il fait remarquer que l’intimé n’en a pourtant pas tenu compte jusqu'à fin 2013. Ce n'est que dans le cadre de la révision initiée en décembre 2013 qu’il s’est aperçu de son omission. S’en sont suivi les décisions de restitution des 27 mars et 10 avril 2014. En substance, le recourant proteste de sa bonne foi et soutient n’avoir jamais rien dissimulé à l’intimé. Il considère qu’il n’a pas à répondre des erreurs commises par</w:t>
      </w:r>
    </w:p>
    <w:p>
      <w:r>
        <w:t>A/1851/2016 - 12/13 - celui-ci, erreurs dont il soutient qu’elles n’étaient pas manifestes, tant il est difficile de lire et comprendre les feuilles de calcul du SPC. En l’occurrence, force est de constater que si l’assuré n’a certes pas dissimulé d’éléments à l’intimé, il ne lui a pas non plus signalé qu’il avait omis de prendre en compte certains éléments de revenu. Or, le recourant ne pouvait se limiter à l’examen sommaire des feuilles de calcul annexées aux décisions de l’intimé. L’étude de celles-ci lui aurait d'emblée permis de constater que les revenus annoncés n'avaient pas été pris en considération pour fixer le montant de la prestation complémentaire, les calculs de l’intimé ne revêtant pas de difficultés de lecture ou de compréhension particulières. Ainsi que cela ressort de la jurisprudence, si l'on ne peut certes attendre d’un bénéficiaire qu'il procède à une analyse détaillée du calcul de ses prestations, il reste néanmoins tenu de procéder à la vérification de la feuille de calcul qui lui est communiquée, en particulier des éléments pris en compte par l'administration pour calculer son droit, afin de déceler d'éventuelles erreurs manifestes. Cette obligation a d’ailleurs été rappelée au recourant chaque année par un courrier intitulé "communication importante". En faisant preuve de l'attention que l'on peut exiger d'une personne capable de discernement dans une situation identique et dans les mêmes circonstances, le recourant aurait pu et dû constater que le montant retenu à titre de loyer par l'intimé - qui ressort clairement de sa feuille de calcul - ne tenait pas compte de l'allocation de logement et l'informer de son erreur, décelable à la simple lecture des feuilles de calcul des prestations, le montant du loyer retenu n’étant pas réduit. En outre, quelles que soient ses difficultés de compréhension, le recourant était conscient de l'obligation de renseignement qui lui incombait ; il a d’ailleurs communiqué à l'intimé, au fil des années, les pièces justificatives pouvant influencer le niveau de ses prestations. Ainsi que cela ressort de ce qui précède, cela n’était cependant pas suffisant. Le recourant a fait preuve d’un manque de vigilance qui exclut par conséquent sa bonne foi. Cette première condition cumulative n’étant pas remplie, il n'est pas nécessaire d'examiner la seconde, relative à la situation financière du recourant. C'est donc à juste titre que l'intimé a rejeté la demande de remise. Quant aux considérations émises sur des éléments portant sur la restitution en elle- même, sa quotité ou son bien-fondé, ils ne sont pas recevables à ce stade de la procédure, la décision de restitution étant entrée en force. Au vu de ce qui précède, le recours est rejeté. Pour le surplus, la procédure est gratuite (art. 61 let. a LPGA et 89H al. 1 LPA).</w:t>
      </w:r>
    </w:p>
    <w:p>
      <w:r>
        <w:t>A/1851/2016 - 13/13 -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