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ATAS/81/2016 vom 2. Februar 2016</w:t>
      </w:r>
    </w:p>
    <w:p>
      <w:r>
        <w:t>GE Cour de justice, 2016-02-02, FR</w:t>
      </w:r>
    </w:p>
    <w:p>
      <w:r>
        <w:rPr>
          <w:b/>
        </w:rPr>
        <w:t xml:space="preserve">Quelle: </w:t>
      </w:r>
      <w:r>
        <w:t>https://mcp.opencaselaw.ch/entscheid/ge_gerichte_ATAS_81_2016</w:t>
      </w:r>
    </w:p>
    <w:p>
      <w:r>
        <w:t>FR: GE_GERICHTE ATAS/81/2016 du 2 février 2016</w:t>
      </w:r>
    </w:p>
    <w:p>
      <w:r>
        <w:t>IT: GE_GERICHTE ATAS/81/2016 del 2 febbraio 2016</w:t>
      </w:r>
    </w:p>
    <w:p>
      <w:pPr>
        <w:pStyle w:val="Heading2"/>
      </w:pPr>
      <w:r>
        <w:t>Erwägungen</w:t>
      </w:r>
    </w:p>
    <w:p>
      <w:r>
        <w:rPr>
          <w:b/>
        </w:rPr>
        <w:t>E. 22</w:t>
      </w:r>
    </w:p>
    <w:p>
      <w:r>
        <w:t>Par décision du 31 janvier 2014, l’OAI a rejeté la demande de prestations de l’assurée du 11 mars 2013, l’état de santé de l’assurée étant resté globalement le même que celui qui prévalait en 2005, son invalidité étant toujours nulle.</w:t>
      </w:r>
    </w:p>
    <w:p>
      <w:r>
        <w:rPr>
          <w:b/>
        </w:rPr>
        <w:t>E. 23</w:t>
      </w:r>
    </w:p>
    <w:p>
      <w:r>
        <w:t>Par acte du 5 mars, complété le 1er avril 2014, l’assurée, désormais assistée d’un avocat, a recouru contre cette décision de l’OAI, concluant en substance, sous suite de frais et dépens, à l’annulation de la décision attaquée et à l’octroi d’une rente d’invalidité entière. À l’appui de ses conclusions, elle a allégué que, depuis la suppression de son droit à une demi-rente d’invalidité en 2005, son état de santé ne s’était pas amélioré et qu’elle n’avait en réalité jamais été capable de travailler à 100 %, n’ayant poursuivi son activité comme péripatéticienne à son domicile qu’à temps très partiel. Depuis 2012, son état de santé s’était particulièrement aggravé au point qu'elle avait dû cesser toute activité comme péripatéticienne. Sa psychiatre-</w:t>
      </w:r>
    </w:p>
    <w:p>
      <w:r>
        <w:t>A/675/2014 - 7/21 - traitante faisait d’ailleurs mention de plusieurs diagnostics psychiatriques avec effet sur sa capacité de travail en sus du trouble dépressif récurrent et du dysfonctionnement neurovégétatif de la sphère gastro-intestinale, à savoir notamment un trouble mixte de la personnalité avec traits immatures, hystériques, paranoïaques et obsessionnels. Ces éléments n’avaient pas été pris en compte par l’OAI, qui n’avait pas entrepris d’investigation pour évaluer son état de santé, refusant de soumettre l’avis médical de la Dresse K______ à un expert en psychiatrie. Admettant que la décision de suppression de rente du 9 mai 2005 était entrée en force, faute d’avoir été contestée à l’époque, elle a insisté sur l’aggravation de son état de santé psychique depuis 2012, attestée par la nécessité de poursuivre une psychothérapie régulière. Elle souffrait également de divers autres troubles de la personnalité mixte, invalidants depuis quelques années. Dès lors que sa demande de rente d’invalidité remontait à mars 2013, elle estimait avoir le droit à une rente d’invalidité dès le 1er octobre 2013.</w:t>
      </w:r>
    </w:p>
    <w:p>
      <w:r>
        <w:rPr>
          <w:b/>
        </w:rPr>
        <w:t>E. 24</w:t>
      </w:r>
    </w:p>
    <w:p>
      <w:r>
        <w:t>Le 8 mai 2014, l’OAI a conclu au rejet du recours, l’assurée n’ayant pas établi de façon plausible que son état de santé s’était modifié de manière à influencer ses droits à des prestations de l’AI. Par ailleurs, l’instruction menée suite à la nouvelle demande de prestations de la recourante n’avait pas permis d’objectiver une aggravation de son état de santé depuis la dernière décision entrée en force.</w:t>
      </w:r>
    </w:p>
    <w:p>
      <w:r>
        <w:rPr>
          <w:b/>
        </w:rPr>
        <w:t>E. 25</w:t>
      </w:r>
    </w:p>
    <w:p>
      <w:r>
        <w:t>Le 6 juin 2014, la recourante a relevé qu’aucune instruction n’avait été menée par l’OAI, seuls deux avis médicaux ayant été émis par le médecin de l’OAI, n’ayant pas qualité d’expert en psychiatrie. Sa psychiatre-traitante estimait que son état de santé s’était rigidifié et péjoré depuis l’expertise psychiatrique rendue dix ans plus tôt, dans le contexte de laquelle elle s’était au demeurant braquée, état symptomatique de sa pathologie, si bien que l’expertise de 2004 ne pouvait pas à elle seule attester de l’évolution de son état psychique de 2004 à 2014. Sa psychiatre-traitante préconisait en outre un examen psychométrique afin d’évaluer son état neuropsychologique, et elle estimait son incapacité de travail à 100 %. Enfin, selon la recourante, il fallait procéder à l’audition de sa psychiatre-traitante et à la mise sur pied d’une nouvelle expertise psychiatrique indépendante.</w:t>
      </w:r>
    </w:p>
    <w:p>
      <w:r>
        <w:rPr>
          <w:b/>
        </w:rPr>
        <w:t>E. 26</w:t>
      </w:r>
    </w:p>
    <w:p>
      <w:r>
        <w:t>Répondant à une demande de renseignements de la chambre de céans, la Dresse K______ a indiqué, le 13 juin 2014, que le trouble dépressif récurrent de la recourante, présent depuis 1998 au moins, était en l’état d’intensité modérée à sévère. Depuis le début de la prise en charge de l’assurée en août 2012, la psychiatre précitée n’avait pas observé d’amélioration ni d’aggravation de l’état psychique de l’assurée, resté pathologique et inchangé de façon chronique. Le traitement en cours consistait en un suivi psychiatrique associant des entretiens psychothérapeutiques (environ une fois par mois) et un traitement antidépresseur phytothérapeutique, l’assurée refusant tout médicament allopathique. Sur la base de ses constatations, elle avait posé les diagnostics de trouble dépressif récurrent, état dépressif alors d’intensité moyenne à sévère, de dysfonctionnement neurovégétatif de la sphère gastro-intestinale et de troubles mixtes de la personnalité avec traits</w:t>
      </w:r>
    </w:p>
    <w:p>
      <w:r>
        <w:t>A/675/2014 - 8/21 - immatures, hystériques, paranoïaques et obsessionnels, son évaluation diagnostique de l’assurée différant ainsi de celle faite en 2004 par l’expert J______. L’état thymique de l’assurée s’était semble-t-il aggravé en raison de facteurs sociaux (précarité professionnelle) et affectif (mode de vie en vase clos pathogène avec son fils également atteint de troubles mentaux, conflit avec une mère dévalorisante et culpabilisante mais son seul lien familial existant), et le tableau clinique s’était aggravé par la présence d’un trouble de la personnalité non retenu à l’époque par l’expert alors qu’il était pourtant bien présent mais moins facile à détecter dans le cadre d’une expertise en raison du peu d’entretiens et d’un certain manque de collaboration de l’assurée au cours de cette expertise, menée par un homme par lequel elle s’était sentie jugée en raison de son activité de péripatéticienne. La symptomatologie chronique de l’assurée diminuait sa capacité de travail, à savoir son discours abondant, éparpillé, confus, exubérant et angoissé, son comportement inapproprié en situation sociale nouvelle (évitement phobique, tendance à l’interprétativité et à la persécution), ses raisonnements et attitudes fréquemment infantiles et inadéquats, ses angoisses désorganisatrices (claustrophobie, cancérophobie, peur des étrangers, anticipation catastrophique généralisée), et ses compétences faibles et capacités d’apprentissage et d’adaptation très limitées. Ce status mental pathologique et chronique, peu amélioré par le traitement en cours, était de nature à altérer fortement la capacité de travail de l’assurée.</w:t>
      </w:r>
    </w:p>
    <w:p>
      <w:r>
        <w:rPr>
          <w:b/>
        </w:rPr>
        <w:t>E. 27</w:t>
      </w:r>
    </w:p>
    <w:p>
      <w:r>
        <w:t>Par un courrier du 3 août 2014, la Dresse K______ a encore précisé qu’un examen psychométrique de l’assurée était indiqué, en tant qu’il devait permettre d’évaluer son quotient intellectuel (suspicion d’un retard mental léger à l’examen clinique), ses fonctions cognitives (vigilance, concentration, attention, mémoire) et ses fonctions exécutives (planification, organisation, élaboration de stratégies, gestion du temps et de l’espace). Ce type d’examen devait en outre permettre d’objectiver et de quantifier des troubles psychiques présents à l’examen clinique, de confirmer ou infirmer certains diagnostics, et d'affiner la prise en charge médicale ainsi que l’orientation professionnelle en cas de limitations ou de perturbations notables des fonctions supérieures.</w:t>
      </w:r>
    </w:p>
    <w:p>
      <w:r>
        <w:rPr>
          <w:b/>
        </w:rPr>
        <w:t>E. 28</w:t>
      </w:r>
    </w:p>
    <w:p>
      <w:r>
        <w:t>Par ordonnance du 31 octobre 2014, la chambre de céans a considéré que si les rapports de la Dresse K______ étaient sensiblement plus étayés que le SMR et qu’on ne pouvait leur nier toute valeur probante du seul fait qu’ils émanaient du psychiatre-traitant de la recourante, il fallait tout de même tenir compte du fait que les médecins traitants pouvaient être enclins, en cas de doute, à prendre parti pour leurs patients en raison de leur relation de confiance qui les unissait à ces derniers. Par conséquent, il convenait d’ordonner une expertise, confiée au docteur M______, spécialiste FMH en psychiatrie et psychothérapie, pour pouvoir juger de l’état de santé de la recourante.</w:t>
      </w:r>
    </w:p>
    <w:p>
      <w:r>
        <w:rPr>
          <w:b/>
        </w:rPr>
        <w:t>E. 29</w:t>
      </w:r>
    </w:p>
    <w:p>
      <w:r>
        <w:t>Le 6 février 2015, le Dr M______ a établi un rapport fondé sur un entretien avec l’assurée de 2h30 le 10 décembre 2014, un entretien téléphonique le 20 janvier 2015 avec la Dresse K______ ainsi que l’étude du dossier. Après avoir résumé les</w:t>
      </w:r>
    </w:p>
    <w:p>
      <w:r>
        <w:t>A/675/2014 - 9/21 - pièces du dossier et procédé à une anamnèse détaillée, le Dr M______ a résumé ses observations cliniques, considérant que la recourante était normalement vigilante, bien orientée et qu’elle ne présentait aucun trouble du registre psychotique de la pensée ou de la perception. Ses capacités intellectuelles paraissaient se situer dans la moyenne et l’examen clinique ne montrait aucun trouble des capacités cognitives. Le discours décousu correspondait à une stratégie défensive bien rodée chez la recourante, qui avait appris précocement, dans un environnement difficile, à se cacher derrière un rideau de flou. Ses références au fait qu’elle était « bête » ou « nulle » semblaient également obéir à une logique défensive et paraissaient avoir pour fonction de désamorcer sur un mode « préemptif » toute critique pouvant être adressée à une femme dont l’estime était peut-être vulnérable mais efficacement protégée par des mécanismes de défense du registre narcissique. Si elle répondait souvent à côté des questions posées et qu’il fallait les répéter plusieurs fois patiemment pour obtenir des réponses, à géométrie variable, l’assurée restait toujours bien présente dans l’échange, au fait des tenants et aboutissants de la discussion, étant capable de refermer les parenthèses qu’elle avait ouvertes et de revenir au point de départ de l’une ou l’autre des digressions. Il n’y avait pas d’inhibition psychomotrice, l’élan vital étant conservé. Si elle disait avoir peur de l’avenir et percevoir le monde comme dangereux, l’assurée paraissait plus nostalgique du passé qu’inquiète du futur. Si elle invoquait certes l’anxiété et la fatigue pour justifier la cessation de son activité de prostituée, elle mentionnait également des impératifs d’ordre administratif notamment, dans la mesure où elle savait qu’elle s’exposerait à des ennuis si elle continuait à gagner de l’argent tout en percevant l’aide sociale. Questionnée au sujet d’une activité dans le circuit économique normal, l’assurée a considéré qu’aucun employeur ne voudrait d’elle étant donné qu’elle avait arrêté de travailler en 1978 et que de nos jours, tout employé devait être qualifié, ce qui n’était pas son cas. En relation avec son activité pour la boutique de seconde main, elle a mentionné un conflit avec une cliente, jalouse et méchante. En raison du fait qu’elle était souvent en jupe, elle devait supporter des commentaires désobligeants tels que « Salope », « pute » ou « Cougar », lorsqu’elle se promenait avec son fils. Pour l’expert, l’assurée avait sans doute subi des carences affectives et éducatives durant son enfance, carences qui avaient interféré avec son développement affectif. Elle avait mal réussi sur le plan scolaire malgré une intelligence apparemment normale, en raison vraisemblablement d’une inhibition d’ordre névrotique des processus d’apprentissage. Cela étant précisé, l’expert a retenu les diagnostics d’anxiété généralisée (F41.1) et de trouble de la personnalité (personnalité immature à traits histrioniques marqués), présentant également des traits narcissiques, dépendants et évitants (F60.8). En effet, tous les critères cumulatifs du diagnostic de dysfonctionnement neurovégétatif de la sphère gastro-intestinale, posé par les Drs G______ et K______, n’étaient pas réalisés de sorte que ce diagnostic ne pouvait être retenu. Si</w:t>
      </w:r>
    </w:p>
    <w:p>
      <w:r>
        <w:t>A/675/2014 - 10/21 - le Dr G______ n’avait mentionné aucun trouble de l’humeur, les Drs J______ et K______ avaient évoqué le diagnostic de trouble dépressif récurrent. Cependant, pour que le diagnostic de trouble dépressif puisse être posé, il devait y avoir au moins un épisode dépressif. Or, le dossier ne contenait aucune description fiable d’un cortège de symptômes authentiquement dépressifs suffisamment profonds et durables de sorte qu’un tel diagnostic ne pouvait être posé. L’expert avait eu l’impression, en relisant la description des collègues médecins, qu’ils avaient tous observé la même personne, laquelle avait remarquablement peu changé en 20 ans. Derrière les différences de vocabulaire et de sensibilité des différents examinateurs, on voyait se dessiner un tableau remarquablement semblable. En revanche, un diagnostic de trouble de la personnalité (personnalité immature avec des traits narcissiques, dépendants et anxieux et surtout histrioniques marqués in casu), comme cela avait déjà été évoqué par les Drs G______ et K______, pouvait être posé dès lors que cinq des critères prévus par la CIM-10 étaient réalisés, étant précisé que seuls trois étaient suffisants. Ledit trouble avait vraisemblablement eu des répercussions sur le fonctionnement professionnel et l’adaptation sociale de l’assurée, dès lors qu’il impliquait une propension à des choix peu constructifs et un manque de flexibilité comportementale limitant l’éventail des domaines dans lesquels l’assurée aurait pu ou pourrait encore gagner sa vie. Cela étant, elle avait néanmoins pu trouver un équilibre durant de longues années en exerçant l’activité de prostituée. Le trouble de la personnalité était un trouble durable déjà existant lorsque l’assurée était jeune adulte. Cela étant, ce trouble ne l’avait alors pas empêchée de travailler pendant des périodes assez longues dans des emplois ne nécessitant que peu de qualifications, emplois ayant pratiquement disparu dans le monde du travail actuel. L’assurée s’était par la suite orientée vers le domaine de la prostitution et les aspects particuliers de sa personnalité n’avaient eu que peu de répercussion sur sa capacité de travail dans ses activités. Si elle n’avait jamais exercé son activité de manière intensive, cela semblait dû à son statut de mère d’un fils malheureusement malade et qui n’avait pas pu s’autonomiser. Des facteurs de réalité externe ou objective (âge de l’assurée, changements intervenus au niveau du marché de la prostitution avec concurrence accrue, vieillissement de sa clientèle d’habitués, échec de l’autonomisation de son fils, nécessité d’abandonner l’exercice d’une activité lucrative vu la demande d’aide sociale) avaient été déterminants, les problèmes de santé mentale présents de longue date, lesquels n’avaient eu que peu ou pas d’interférences avec la capacité de travail, étant secondaires. Le trouble de la personnalité, existant depuis l’adolescence, oscillait entre faible et moyen, dans la mesure où il ne comportait pas une composante de labilité émotionnelle marquée. La composante anxieuse des troubles observés chez l’assurée justifiait un diagnostic d’anxiété généralisée (F41.1). Ce trouble, qui évoluait entre un niveau faible et moyen, paraissait s’être développé à partir du début de l’âge adulte. Il ne s’agissait pas d’un trouble psychique grave, même s’il était source d’un certain</w:t>
      </w:r>
    </w:p>
    <w:p>
      <w:r>
        <w:t>A/675/2014 - 11/21 - inconfort, avec des sensations physiques subjectivement désagréables. Un tel trouble n’était habituellement pas invalidant. La situation de précarité matérielle et sociale de l’assurée était probablement un facteur de stress contribuant à la pérennité de son anxiété généralisée. Pour autant qu’il y ait une amélioration de sa situation financière, la reprise éventuelle d’une activité pourrait contribuer à une diminution de l’anxiété. L’assurée ne souffrait pas d’une symptomatologie phobique extensive, laquelle aurait représenté un handicap significatif, et en particulier pas de symptômes dépressifs susceptibles d’interférer avec sa capacité à faire face à ses peurs lorsqu’elle devait effectuer une démarche inquiétante ou difficile mais importante pour elle. Cela étant, la présence d’une anxiété généralisée signifiait qu’une partie de son énergie était ainsi investie dans les processus de lutte contre l’angoisse. L’engagement dans une activité professionnelle pouvait améliorer cette problématique, laquelle ne disparaîtrait toutefois pas pour autant, étant donné que même une activité professionnelle à plein temps ne pouvait distraire la personne de ses inquiétudes que durant la moitié environ du temps de veille et pouvait en elle-même apporter de nouveaux soucis. Le trouble anxieux justifiait ainsi un besoin accru d’espaces de récupération et par conséquent une limitation horaire de 25 % au maximum. S’agissant de la capacité de travail de l’assurée, l’expert rejoignait cette dernière sur la question de l’utilité sociale de l’activité de prostituée et considérait qu’il n’y avait pas de « sot métier ». Au-delà de l’activité de prostituée, qui constituait, pour autant qu’elle fût exigible, une activité adaptée, toute activité ne demandant pas d’efforts physiques importants, pouvant être effectuée dans un environnement n’exposant pas l’assurée à des facteurs de stress dépassant un niveau moyen (pas de niveau excessif de bruit, de saleté, de nuisances olfactives ou de conflits interpersonnels potentiels) pouvait entrer en ligne de compte. Ainsi en était-il de l’emploi de vendeuse dans une boutique comme cela avait en son temps été proposé à l’assurée. Compte tenu des fonctions psychiques conservées, l’assurée pouvait travailler sans réduction de rendement mais avec un horaire réduit de 25 % (6 heures par jour par exemple), ce qui lui permettrait des plages de récupération et d’échappement utiles au maintien de son équilibre. Par ailleurs, le fait que l’assurée ait rapidement choisi d’interrompre l’expérience dans la boutique de vêtements ne pouvait être invoqué, étant donné qu’il s’agissait d’un choix. Théoriquement, l’assurée était capable de travailler à 75 % au vu des fonctions psychiques conservées. Les atteintes psychiques dont elle souffrait n’entraînaient pas de limitation fonctionnelle importante. Si le pronostic n’était pas mauvais sur le plan médical, il était moins favorable au plan social, dans la mesure où les chances de voir l’assurée un jour se réengager concrètement dans une activité lucrative paraissaient minimes. Enfin, l’expert notait que la problématique de la recourante était déjà présente en 2005 et qu’elle n’avait que peu évolué depuis lors, les principaux changements étant dus à des facteurs contextuels et non physiques. Ainsi, la diminution de la capacité de travail de 25 % était déjà présente en 2005.</w:t>
      </w:r>
    </w:p>
    <w:p>
      <w:r>
        <w:t>A/675/2014 - 12/21 -</w:t>
      </w:r>
    </w:p>
    <w:p>
      <w:r>
        <w:rPr>
          <w:b/>
        </w:rPr>
        <w:t>E. 30</w:t>
      </w:r>
    </w:p>
    <w:p>
      <w:r>
        <w:t>Par courriers des 3 mars et 14 avril 2015, la recourante s’est prononcée sur l’expertise du Dr M______. Si celui-ci motivait suffisamment les raisons pour lesquelles ils s’écartaient des diagnostics et appréciations retenus par les autres médecins, il n’y avait aucune raison que son rapport prévale sur ceux des autres médecins, également motivés à satisfaction de droit. En outre, le Dr M______ n’expliquait pas pour quels motifs il n’avait pas effectué ou fait effectuer un examen psychométrique ni pourquoi il ne retenait qu’une diminution de 25 % de la capacité de travail. Par ailleurs, interpellée sur l’expertise précitée, la Dresse K______ avait déclaré que la diminution effective du taux d’activité devait être arrêtée pour chaque cas particulier, qu’il existait des convergences entre les diagnostics retenus bien que les conclusions ne se recoupaient pas. Pour le surplus, le médecin précité persistait dans les diagnostics qu’elle avait posés. Au vu de toutes ces critiques, les atteintes à la santé de l’assurée entraînaient une incapacité totale de travailler, et ce dans toute activité, de sorte qu’une rente d’invalidité entière devait lui être octroyée avec effet au 1er octobre 2013.</w:t>
      </w:r>
    </w:p>
    <w:p>
      <w:r>
        <w:rPr>
          <w:b/>
        </w:rPr>
        <w:t>E. 31</w:t>
      </w:r>
    </w:p>
    <w:p>
      <w:r>
        <w:t>L’intimé s’est prononcé par courrier du 3 mars 2015. Se référant à un avis du SMR du 27 février 2015, joint à son courrier, il a considéré que l’expert procédait à une appréciation différente d’une même situation, étant donné que la problématique actuelle semblait déjà avoir été présente en 2005 et ne s’était que peu modifiée depuis lors, les principaux changements intervenus ne semblant pas concerner les problèmes de santé de la recourante. Par conséquent, la diminution de travail que le Dr M______ reconnaissait était déjà existante en 2005, de sorte que c’était à juste titre que l’OAI avait retenu une pleine capacité de travail, l’instruction menée n’ayant ainsi pas permis d’objectiver une détérioration de l’état de santé de la recourante.</w:t>
      </w:r>
    </w:p>
    <w:p>
      <w:r>
        <w:rPr>
          <w:b/>
        </w:rPr>
        <w:t>E. 32</w:t>
      </w:r>
    </w:p>
    <w:p>
      <w:r>
        <w:t>Sur ce,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A/675/2014 - 13/21 -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point de savoir si l’intimé était fondé à rejeter la nouvelle demande de prestations de la recourante. Concrètement, le litige concerne l’existence d’une aggravation de l’état de santé de la recourante entre mai 2005 (suppression de rente) et janvier 2014 (rejet de la nouvelle demande). 5. a. Lorsque la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 arrêt du Tribunal fédéral des assurances I 716/2003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3 RAI et que l’assuré a interjeté recours pour ce motif (ATF 109 V 108 consid. 2b; arrêt du Tribunal fédéral 9C_970/2010 du 30 mars 2011, consid. 3.2). Ce contrôle par l’autorité judiciaire n’est en revanche pas nécessaire lorsque l’administration est entrée en matière sur la nouvelle demande (ATF 109 V 108 consid. 2b; arrêts du Tribunal fédéral 9C_789/2012 du 27 juillet 2013, consid. 2.2 et 9C_970/2010 du 30 mars 2011, consid. 3.2). Dans une telle situation, il convient de traiter l’affaire au fond et de vérifier que la modification du degré d’invalidité rendue plausible par l’assuré est réellement intervenue. Cela revient à examiner, par analogie avec l’art. 17 LPGA, si un changement important des circonstances</w:t>
      </w:r>
    </w:p>
    <w:p>
      <w:r>
        <w:t>A/675/2014 - 14/21 -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et 130 V 71 consid. 3.2; arrêt du Tribunal fédéral 9C_754/2013 du 16 avril 2014, consid. 2.1). Une appréciation différente d'une situation demeurée inchangée pour l'essentiel ne constitue pas un motif de révision (arrêt du Tribunal fédéral 9C_717/2012 du 18 mars 2013, consid. 3.3 ; arrêt du Tribunal fédéral des assurances I 491/2003 du 20 novembre 2003, consid. 2.2 in fine et les références).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c.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A/675/2014 - 15/21 - entraîne une incapacité de travail ayant des effets sur la capacité de gain de l’assuré (arrêt du Tribunal fédéral des assurances I 654/00 du 9 avril 2001 consid. 1). 7.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A/675/2014 - 16/21 - champ socioculturel ou psychosocial, il n'y a pas d'atteinte à la santé à caractère invalidant (ATF 127 V 294 consid. 5a in fine). 8. a. Pour pouvoir calculer le degré d’invalidité, l’administration (ou le juge, s’il y a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b/aa.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A/675/2014 - 17/21 -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10. En l’espèce, il y a lieu de déterminer si l’état de santé de la recourante s’est aggravé entre la décision de suppression de rente rendue le 9 mai 2005 et la décision</w:t>
      </w:r>
    </w:p>
    <w:p>
      <w:r>
        <w:t>A/675/2014 - 18/21 - querellée du 31 janvier 2014. Pour ce faire, il convient de procéder à une analyse comparative de la situation prévalant en 2005 et en 2014. a. Lors de la suppression de la rente, en 2005, l’intimé s’est fondé sur le rapport d’expertise du Dr J______ du 27 novembre 2004, dans lequel ce médecin a posé les diagnostics de trouble dépressif récurrent, épisode alors léger, sans syndrome somatique (F33.00) et d’accentuation de certains traits de personnalité obsessionnelle (Z73.1). Il avait considéré, en substance, que la recourante présentait un problème socio-professionnel, dans la mesure où elle avait des difficultés pour gagner sa vie, éprouvant à tout le moins une angoisse pour le futur. Elle souffrait en outre de son quotidien partiellement satisfaisant et des relations familiales peu épanouissantes. La recourante éprouvait une réelle souffrance même si aucun vrai diagnostic ne pouvait être posé. La symptomatologie ne l’empêchait pas d’accomplir son activité professionnelle de péripatéticienne, de sorte qu’on devait lui reconnaître une capacité de travail normale, sans limitation de rendement et exigible, en admettant toutefois une possible limitation fonctionnelle d’asthénie à l’effort. Le trouble dépressif de gravité moyenne dont avait souffert la recourante avait entraîné une incapacité de travail de 20 % jusqu’au 8 avril 2004. Depuis cette date, il n’entraînait plus aucune incapacité. La recourante n’a pas recouru contre la décision de suppression rendue sur la base du rapport du Dr J______, et elle n’a pas non plus demandé la reconsidération ou la révision procédurale de la décision précitée. Ce faisant, elle a reconnu une pleine valeur probante au rapport d’expertise du Dr J______. b/aa. Lors de la décision querellée, en 2014, l’intimé s’est essentiellement fondé sur les rapports de la Dresse K______ du 17 avril et 20 mai 2013, dans lesquels ce médecin a relevé que la recourante avait poursuivi son activité de péripatéticienne, avant d’y mettre un terme définitivement en 2012. Les diagnostics retenus étaient ceux de trouble dépressif récurrent, dysfonctionnement neurovégétatif de la sphère gastro-intestinale, troubles de la personnalité mixte avec traits immatures, hystériques, paranoïaques et obsessionnels ainsi qu’une suspicion de retard mental léger. Ses fonctions supérieures étaient diminuées : l’intelligence était cliniquement faible, la concentration et l’attention défaillantes, la mémoire fiable mais lente, la capacité de compréhension limitée pour des notions abstraites ou des sujets légèrement complexes. La capacité d’adaptation était inexistante et sa résistance faible. En cours de procédure, la Dresse K______ avait complété ses courriers des 17 avril et 20 mai 2013, expliquant que l’état thymique de l’assurée s’était aggravé en raison facteurs sociaux (précarité professionnelle) et affectifs (mode de vie en vase clos avec son fils également atteint de troubles mentaux, conflit avec sa mère, dévalorisante mais constituant sa seule famille). Un examen psychométrique était suggéré.</w:t>
      </w:r>
    </w:p>
    <w:p>
      <w:r>
        <w:t>A/675/2014 - 19/21 - Considérant qu’en raison du lien de confiance qui unissait la Dresse K______ à la recourante, ses rapports devaient être pris avec circonspection, la chambre de céans a nommé le Dr M______ pour réalisation d’une expertise psychiatrique. C’est donc la valeur probante de ce rapport qu’il convient d’examiner. Force est de constater que le rapport de ce médecin, daté du 6 février 2015, remplit sur le plan formel toutes les exigences auxquelles la jurisprudence soumet la valeur probante d'un tel document : il contient un résumé du dossier, une anamnèse détaillée, les indications subjectives de la recourante, des observations cliniques, ainsi qu’une discussion générale du cas, et ses conclusions, qui résultent d'une analyse complète de la situation médicale, sont claires, bien motivées et convaincantes. Sur le fond, l’expert retient les diagnostics d’anxiété généralisée (F41.1) et de trouble de la personnalité (personnalité immature à traits histrioniques marqués, présentant également des traits narcissiques, dépendants et évitants [F60.8]), tout en expliquant pour quels motifs il ne retenait pas les diagnostics de dysfonctionnement neurovégétatif de la sphère gastro-intestinale et de retard mental léger. Le trouble de la personnalité, qualifié de moyen, existait depuis l’adolescence. Quant au trouble anxieux, lequel oscillait entre faible et moyen, existait depuis le début de l’âge adulte et entraînait une réduction du temps de travail de 25 % en raison du besoin accru d’espaces de récupération. En résumé, l’assurée était capable de travailler à 75 % (par exemple 6 heures par jour) dans l’activité habituelle de péripatéticienne ainsi que dans toute autre activité ne demandant pas d’efforts physiques importants et pouvant être effectuée dans un environnement ne l’exposant pas à des facteurs de stress dépassant un niveau moyen (pas de niveau excessif de bruit, de saleté, de nuisances olfactives ou de conflits interpersonnels). b/bb.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b/cc. En l’espèce, force est de constater que la recourante se limite à contester de manière générale les conclusions de l’expertise, sans faire état d’éléments objectivement vérifiables ni fournir la moindre appréciation médicale à l’appui de ses dires. Si elle se réfère à l’appréciation de son médecin traitant dans ses écritures après enquêtes, elle n’a pas fourni la moindre pièce établie par celui-ci. Ces éléments sont insuffisants pour justifier d’envisager la situation selon une perspective différente et pour ordonner un complément d’instruction sous la forme d’un examen psychométrique (appréciation anticipée des preuves).</w:t>
      </w:r>
    </w:p>
    <w:p>
      <w:r>
        <w:t>A/675/2014 - 20/21 - Dans ces circonstances, il y a lieu de reconnaître une pleine valeur probante au d’expertise du Dr M______ du 6 février 2015. Cela étant, l’expert a expliqué avoir eu l’impression, en relisant la description des collègues médecins, qu’ils avaient tous observé la même personne laquelle avait remarquablement peu changé en 20 ans. « Derrière les différences de vocabulaire et de sensibilité des différents examinateurs, on voyait se dessiner un tableau remarquablement identique ». Il a également indiqué que la problématique dont souffrait la recourante et la diminution de la capacité de travail de 25 % étaient déjà présentes en mai 2005, lorsque de la décision de suppression de rente a été rendue. Ainsi, en réalité, le Dr M______ procède à une appréciation différente d'une situation demeurée inchangée. Dans cette mesure, on ne peut parler d’une aggravation de l’état de santé de la recourante entre la décision de suppression de rente et la décision litigieuse. Partant, c’est à juste titre que l’intimé a rejeté la nouvelle demande de prestations formulée par la recourante. Cela étant, même si l’on devait retenir l’appréciation du Dr M______, force serait de constater que la recourante ne présenterait pas une invalidité suffisamment importante pour lui ouvrir le droit à une rente. En effet, toute activité ne demandant pas d’efforts physiques importants pouvant être effectuée dans un environnement n’exposant pas la recourante à des facteurs de stress reste exigible, une incapacité de travail de 25 % se confond avec une invalidité du même taux, conformément à la jurisprudence. Or, une invalidité de 25 % ne donne pas droit à une rente d’invalidité, même partielle. 11. Au vu de ce qui précède, le recours sera rejeté. La procédure n'étant pas gratuite, en dérogation avec l’art. 61 let. a LPGA (art. 69 al. 1bis phr. 1 LAI), il y a lieu de condamner la recourante au paiement d'un émolument, arrêté en l’espèce au montant minimal de CHF 200.- prévu par l’art. 69 al. 1bis phr. 2 in fine LAI).</w:t>
      </w:r>
    </w:p>
    <w:p>
      <w:r>
        <w:t>A/675/2014 - 21/21 -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