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ATAS/819/2017 vom 25. September 2017</w:t>
      </w:r>
    </w:p>
    <w:p>
      <w:r>
        <w:t>GE Cour de justice, 2017-09-25, FR</w:t>
      </w:r>
    </w:p>
    <w:p>
      <w:r>
        <w:rPr>
          <w:b/>
        </w:rPr>
        <w:t xml:space="preserve">Quelle: </w:t>
      </w:r>
      <w:r>
        <w:t>https://mcp.opencaselaw.ch/entscheid/ge_gerichte_ATAS_819_2017</w:t>
      </w:r>
    </w:p>
    <w:p>
      <w:r>
        <w:t>FR: GE_GERICHTE ATAS/819/2017 du 25 septembre 2017</w:t>
      </w:r>
    </w:p>
    <w:p>
      <w:r>
        <w:t>IT: GE_GERICHTE ATAS/819/2017 del 25 settembre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en l’occurrence la question de savoir si le recourant peut bénéficier d’une remise de l’obligation de restituer la somme de CHF 24’206.-.</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w:t>
      </w:r>
    </w:p>
    <w:p>
      <w:r>
        <w:t>A/2749/2017 - 4/5 - 2011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5</w:t>
      </w:r>
    </w:p>
    <w:p>
      <w:r>
        <w:t>En l’occurrence, le recourant admet que l’activité lucrative exercée par son épouse, à tout le moins depuis le 1er mars 2010, date de départ du nouveau calcul des prestations, n’a pas été annoncée à l’intimé. Il fait valoir qu’il pensait que ces informations étaient directement communiquées à l’intimé par l’AFC. Cet argument ne permet cependant pas d’admettre que la condition de la bonne foi est réalisée ; d’une part, le recourant ne conteste pas avoir été informé par l’intimé de son obligation de renseigner celui-ci sur tout changement de sa situation, comme l’est à l’évidence la prise d’une activité lucrative et, d’autre part, il était aisé pour le recourant de se rendre compte que les décisions de prestations antérieures à la décision de restitution ne mentionnaient aucun revenu des époux autre que les rentes AVS et celles du 2ème pilier (cf. courrier du SPC du 14 décembre 2016, pièce 55 intimé). La condition de la bonne foi n’étant pas admise, c’est à juste titre que l’intimé a refusé la demande de remise du recourant.</w:t>
      </w:r>
    </w:p>
    <w:p>
      <w:r>
        <w:rPr>
          <w:b/>
        </w:rPr>
        <w:t>E. 6</w:t>
      </w:r>
    </w:p>
    <w:p>
      <w:r>
        <w:t>Partant, le recours ne peut qu’être rejeté.</w:t>
      </w:r>
    </w:p>
    <w:p>
      <w:r>
        <w:rPr>
          <w:b/>
        </w:rPr>
        <w:t>E. 7</w:t>
      </w:r>
    </w:p>
    <w:p>
      <w:r>
        <w:t>Pour le surplus, la procédure est gratuite.</w:t>
      </w:r>
    </w:p>
    <w:p>
      <w:r>
        <w:t>A/2749/2017 - 5/5 -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