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ATAS/818/2023 vom 26. Oktober 2023</w:t>
      </w:r>
    </w:p>
    <w:p>
      <w:r>
        <w:t>GE Cour de justice, 2023-10-26, FR</w:t>
      </w:r>
    </w:p>
    <w:p>
      <w:r>
        <w:rPr>
          <w:b/>
        </w:rPr>
        <w:t xml:space="preserve">Quelle: </w:t>
      </w:r>
      <w:r>
        <w:t>https://mcp.opencaselaw.ch/entscheid/ge_gerichte_ATAS_818_2023</w:t>
      </w:r>
    </w:p>
    <w:p>
      <w:r>
        <w:t>FR: GE_GERICHTE ATAS/818/2023 du 26 octobre 2023</w:t>
      </w:r>
    </w:p>
    <w:p>
      <w:r>
        <w:t>IT: GE_GERICHTE ATAS/818/2023 del 26 ottobre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t>A/436/2022 - 8/25 -</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les faits juridiquement déterminants se sont produits antérieurement au 1er janvier 2022, de sorte que les dispositions légales applicables seront citées dans leur ancienne teneur.</w:t>
      </w:r>
    </w:p>
    <w:p>
      <w:r>
        <w:rPr>
          <w:b/>
        </w:rPr>
        <w:t>E. 5</w:t>
      </w:r>
    </w:p>
    <w:p>
      <w:r>
        <w:t>Le délai de recours est de 30 jours (art. 56 LPGA ; art. 62 al. 1 de la loi sur la procédure administrative du 12 septembre 1985 [LPA - E 5 10]). Interjeté dans la forme et le délai prévus par la loi, le recours est recevable.</w:t>
      </w:r>
    </w:p>
    <w:p>
      <w:r>
        <w:rPr>
          <w:b/>
        </w:rPr>
        <w:t>E. 6</w:t>
      </w:r>
    </w:p>
    <w:p>
      <w:r>
        <w:t>Le litige porte sur le bien-fondé de la décision de l’OAI du 4 janvier 2022, singulièrement, quant à la limitation de la rente invalidité dans le temps.</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7.1</w:t>
      </w:r>
    </w:p>
    <w:p>
      <w:r>
        <w:t>Les atteintes à la santé psychique peuvent, comme les atteintes physiques, entraîner une invalidité au sens de l'art. 4 al. 1 LAI en liaison avec l'art. 8 LPGA.</w:t>
      </w:r>
    </w:p>
    <w:p>
      <w:r>
        <w:t>A/436/2022 - 9/25 -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w:t>
      </w:r>
    </w:p>
    <w:p>
      <w:r>
        <w:rPr>
          <w:b/>
        </w:rPr>
        <w:t>E. 7.2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t>A/436/2022 - 10/25 -</w:t>
      </w:r>
    </w:p>
    <w:p>
      <w:r>
        <w:rPr>
          <w:b/>
        </w:rPr>
        <w:t>E. 7.3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7.4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8</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w:t>
      </w:r>
    </w:p>
    <w:p>
      <w:r>
        <w:t>A/436/2022 - 11/25 -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w:t>
      </w:r>
    </w:p>
    <w:p>
      <w:r>
        <w:t>A/436/2022 - 12/25 -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w:t>
      </w:r>
    </w:p>
    <w:p>
      <w:r>
        <w:t>A/436/2022 - 13/25 -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w:t>
      </w:r>
    </w:p>
    <w:p>
      <w:r>
        <w:t>A/436/2022 - 14/25 -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9</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w:t>
      </w:r>
    </w:p>
    <w:p>
      <w:r>
        <w:t>A/436/2022 - 15/25 -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10</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11</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11.1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11.2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w:t>
      </w:r>
    </w:p>
    <w:p>
      <w:r>
        <w:t>A/436/2022 - 16/25 -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11.3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11.4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w:t>
      </w:r>
    </w:p>
    <w:p>
      <w:r>
        <w:t>A/436/2022 - 17/25 -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11.5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11.6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A/436/2022 - 18/25 -</w:t>
      </w:r>
    </w:p>
    <w:p>
      <w:r>
        <w:rPr>
          <w:b/>
        </w:rPr>
        <w:t>E. 11.7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12.1</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w:t>
      </w:r>
    </w:p>
    <w:p>
      <w:r>
        <w:t>A/436/2022 - 19/25 -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12.2</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w:t>
      </w:r>
    </w:p>
    <w:p>
      <w:r>
        <w:t>A/436/2022 - 20/25 -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15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w:t>
      </w:r>
    </w:p>
    <w:p>
      <w:r>
        <w:t>A/436/2022 - 21/25 -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16</w:t>
      </w:r>
    </w:p>
    <w:p>
      <w:r>
        <w:t>En l’espèce, la recourante s’est ralliée aux conclusions de l’expertise judiciaire, soit une capacité de travail nulle du 1er août 2020 au 31 décembre 2021 puis une capacité de travail dans une activité adaptée à ses limitations fonctionnelles, de 56%, dès le 1er janvier 2022. L’OAI a considéré que l’expertise judiciaire était convaincante sur le plan médical mais que des questions essentielles demeuraient sans réponse, faute de clarté dans l’évaluation de la capacité de travail faite par l’expert, considérant que sa description d’une activité adaptée correspondait « de facto à un atelier protégé ». Le rapport de l’expert psychiatre H______ correspond en tous points aux exigences en la matière. Il a été établi en parfaite connaissance du dossier médical, dont la lecture a été complétée par plusieurs entretiens avec l’assurée totalisant 300 mn ainsi qu’un entretien téléphonique avec l’époux de l’expertisée, d’une durée de 20 mn et une évaluation neuropsychologique d’une durée de 290 mn. Le rapport psychiatrique contient en outre une anamnèse personnelle, familiale et professionnelle très fouillée, et l’expert a rapporté ses observations cliniques de manière détaillée. Les diagnostics retenus sont soigneusement motivés, et l’expert a expliqué, avec clarté, les limitations fonctionnelles liées aux troubles de la personnalité et la baisse de rendement liée à la neurasthénie, celle-ci représentant la « queue de comète » de l’épisode dépressif de 2019 (rapport d’expertise, p. 20). Il a bien analysé la capacité de gain de la recourante à la lumière des indicateurs développés par la jurisprudence. Il a en outre exposé, de manière convaincante, pour quelles raisons il se ralliait à certaines appréciations des autres intervenants ou au contraire s’en écartait. Ses conclusions sont elles aussi claires et motivées. Les reproches du SMR à l’encontre de ce rapport sont quelque peu ambigus, ce dernier semblant considérer que les limitations fonctionnelles décrites par l’expert, notamment au regard du trouble de la personnalité, empêcheraient toute activité en dehors d’un milieu protégé.</w:t>
      </w:r>
    </w:p>
    <w:p>
      <w:r>
        <w:t>A/436/2022 - 22/25 - La chambre de céans ne saurait suivre ces considérations. Le trouble de la personnalité anankastique entraîne une tendance à la procrastination, une lenteur d’exécution avec volonté de contrôle et une rigidité défensive dans les rapports humains. Rien ne démontre qu’il n’existe pas d’activité adaptée à ces limitations fonctionnelles en dehors de ce que l’OAI considère comme étant un milieu protégé. Il ressort d’ailleurs de l’anamnèse professionnelle que c’est dans son activité habituelle, soit un milieu bancaire très compétitif et dynamique, que l’assurée a connu des problèmes. Aucun élément ne permet de conclure qu’elle ne pourrait pas travailler en milieu adapté et bienveillant. L’entretien avec l’époux de l’expertisée montre d’ailleurs que celui-ci a connu une femme dynamique, qui l’est encore aujourd’hui, mais qui s’essouffle et se fatigue rapidement ; il souligne toutefois que son épouse est volontaire. S’agissant de la neurasthénie, selon l’expert, elle n’impacte pas le choix d’une activité, mais entraîne une chute de rendement de 20% dans n’importe quelle activité. Compte tenu de ce qui précède, l’expertise du prof. H______ doit se voir reconnaître une entière valeur probante. Dès lors, la chambre de céans considère qu’il est établi au degré de la vraisemblance prépondérante qu’il existait une incapacité de travail de 100% dans toute activité, en lien avec l’évolution du trouble dépressif récurrent, depuis le 1er août 2019* 22 juillet 2019 jusqu’au 31 décembre 2021. Dès le 1er janvier 2022, la capacité de travail restait nulle dans l’activité habituelle, en lien avec le trouble de la personnalité et la neurasthénie, et de 56% dans un milieu adapté. Rectification d’une erreur matérielle le 10.04.2024/KNP/RNA</w:t>
      </w:r>
    </w:p>
    <w:p>
      <w:r>
        <w:rPr>
          <w:b/>
        </w:rPr>
        <w:t>E. 17</w:t>
      </w:r>
    </w:p>
    <w:p>
      <w:r>
        <w:t>Cela étant établi, il sied de constater que dans la décision querellée, l’OAI n’a pas effectué de calculs de comparaison des revenus dès lors que sa décision aboutissait à la conclusion que l’incapacité de travail (limitée dans le temps) se confondait avec l’incapacité de gain.</w:t>
      </w:r>
    </w:p>
    <w:p>
      <w:r>
        <w:rPr>
          <w:b/>
        </w:rPr>
        <w:t>E. 17.1</w:t>
      </w:r>
    </w:p>
    <w:p>
      <w:r>
        <w:t>Selon une jurisprudence bien établie de la chambre de céans, le juge cantonal qui estime que les faits ne sont pas suffisamment élucidés doit en principe soit procéder lui-même à une telle instruction complémentaire, soit renvoyer la cause à l’autorité sociale intimée pour qu’elle procède à une instruction complémentaire (ATAS/1109/2021 du 4 novembre 2021 consid. 11b ; ATAS/707/2021 du 30 juin 2021 consid. 9b ; ATAS/662/2021 du 23 juin 2021 consid. 9 ; ATAS/404/2021 du 29 avril 2021 consid. 9b ; ATAS/810/2020 du 28 septembre 2020 consid. 8 ; ATAS/283/2020 du 14 avril 2020 consid. 8d ; ATAS/1102/2019 du 27 novembre 2019 consid. 8). Vu la maxime inquisitoire de l’art. 61 let. c LPGA, la chambre de céans tente, dans la mesure du raisonnable, de procéder directement aux éclaircissements nécessaires dans un but de célérité et d’économie procédurale (en ce sens pour la mise en œuvre d’expertises : ATF 137 V 210 consid. 4.4.1.4) ; cependant, un renvoi à l’administration apparaît en général approprié si celle-ci s’est soustraite à son devoir d’instruire, respectivement si celle-ci a constaté les</w:t>
      </w:r>
    </w:p>
    <w:p>
      <w:r>
        <w:t>A/436/2022 - 23/25 - faits de façon sommaire, dans l’idée que le tribunal les éclaircirait en cas de recours (ATAS/707/2021 du 30 juin 2021 consid. 9b ; ATAS/662/2021 du 23 juin 2021 consid. 9 ; ATAS/404/2021 du 29 avril 2021 consid. 9b ; ATAS/833/2020 du 6 octobre 2020 consid. 10 ; ATAS/463/2020 du 4 juin 2020 consid. 10 ; ATAS/56/2020 du 30 janvier 2020 consid. 13b ; ATAS/960/2019 du 22 octobre 2019 consid. 9c ; ATAS/497/2019 du 4 juin 2019 consid. 7c ; ATAS/83/2019 du 1er février 2019 consid. 8c). Il ne revient un effet pas à la chambre de céans de procéder à une instruction détaillée en lieu et place du personnel spécialisé des autorités sociales compétentes (en ce sens : ATF 146 V 240 consid. 8.3.2), d’autant que cela aurait pour conséquence de priver les assurés concernés d’un degré de juridiction (comparer pour le Tribunal fédéral : ATF 147 I 89 consid. 1.2.5) et d’affaiblir le devoir constitutionnel de motivation sérieuse de l’autorité (en ce sens : ATF 146 V 240 consid. 8.3.2).</w:t>
      </w:r>
    </w:p>
    <w:p>
      <w:r>
        <w:rPr>
          <w:b/>
        </w:rPr>
        <w:t>E. 17.2</w:t>
      </w:r>
    </w:p>
    <w:p>
      <w:r>
        <w:t>En l’état, le mode de calcul retenu dans la décision querellée selon lequel l’incapacité de travail se confond avec l’incapacité de gain reste d’actualité, mais uniquement pour la période où l’incapacité de gain est de 100%. Or, suite au rapport d’expertise psychiatrique concluant à une capacité de travail en milieu adapté de 70% et à une baisse de rendement de 20%, on aboutit désormais, dès le 1er janvier 2022, à une capacité de travail globale de 56% (soit un rendement de 80% d’une activité de 70%), qui nécessite de procéder à une comparaison des revenus afin de déterminer le taux d’invalidité. Étant rappelé que le revenu de l’activité habituelle dans le secteur bancaire très compétitif et dynamique, est vraisemblablement plus élevé que le revenu avec invalidité dans un secteur adapté et bienveillant. À cet égard, l’OAI pourra librement s’adresser à l’expert H______, s’il souhaite obtenir des informations complémentaires, afin de déterminer les activités adaptées que la recourante pourrait exercer et établir ainsi le revenu avec invalidité. La cause sera donc renvoyée à l’OAI pour effectuer une comparaison des revenus et procéder au calcul du taux d’invalidité, avant de rendre une nouvelle décision, à l’aune des considérations qui précèdent.</w:t>
      </w:r>
    </w:p>
    <w:p>
      <w:r>
        <w:rPr>
          <w:b/>
        </w:rPr>
        <w:t>E. 18</w:t>
      </w:r>
    </w:p>
    <w:p>
      <w:r>
        <w:t>Reste à examiner la question des coûts de l'expertise qui peuvent être mis à la charge de l'assureur social (ATF 137 V 210 consid. 4.4.2). L’intimé s’est opposé à la mise en place d’une expertise judiciaire psychiatrique au motif que l’instruction avait conduit à la mise en place d’une expertise psychiatrique auprès du Dr G______ et que cette dernière n’était pas lacunaire. 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w:t>
      </w:r>
    </w:p>
    <w:p>
      <w:r>
        <w:t>A/436/2022 - 24/25 -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 En l'espèce, le fait que les conclusions de l’expert mandaté par l’OAI soient différentes de celles de l’expert judiciaire mandaté par la chambre de céans ne permet pas de déduire que l'autorité administrative a diligenté une instruction présentant des lacunes ou des insuffisances caractérisées. Dès lors, les frais de l’expertise judiciaire seront laissés à la charge de l’État.</w:t>
      </w:r>
    </w:p>
    <w:p>
      <w:r>
        <w:rPr>
          <w:b/>
        </w:rPr>
        <w:t>E. 19</w:t>
      </w:r>
    </w:p>
    <w:p>
      <w:r>
        <w:t>La recourante, obtenant partiellement gain de cause et étant assistée d'un conseil, a droit à des dépens, qui seront fixés à CHF 2'000.- et mis à la charge de l'intimé (art. 61 let. g LPGA).</w:t>
      </w:r>
    </w:p>
    <w:p>
      <w:r>
        <w:rPr>
          <w:b/>
        </w:rPr>
        <w:t>E. 20</w:t>
      </w:r>
    </w:p>
    <w:p>
      <w:r>
        <w:t>Étant donné que, depuis le 1er juillet 2006, la procédure n'est plus gratuite (art. 69 al. 1bis LAI), au vu du sort du recours, il y a lieu de condamner l'intimé au paiement d'un émolument de CHF 200.-.</w:t>
      </w:r>
    </w:p>
    <w:p>
      <w:r>
        <w:t>A/436/2022 - 25/25 -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