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ATAS/818/2017 vom 25. September 2017</w:t>
      </w:r>
    </w:p>
    <w:p>
      <w:r>
        <w:t>GE Cour de justice, 2017-09-25, FR</w:t>
      </w:r>
    </w:p>
    <w:p>
      <w:r>
        <w:rPr>
          <w:b/>
        </w:rPr>
        <w:t xml:space="preserve">Quelle: </w:t>
      </w:r>
      <w:r>
        <w:t>https://mcp.opencaselaw.ch/entscheid/ge_gerichte_ATAS_818_2017</w:t>
      </w:r>
    </w:p>
    <w:p>
      <w:r>
        <w:t>FR: GE_GERICHTE ATAS/818/2017 du 25 septembre 2017</w:t>
      </w:r>
    </w:p>
    <w:p>
      <w:r>
        <w:t>IT: GE_GERICHTE ATAS/818/2017 del 25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bien-fondé de la réduction de la rente entière d’invalidité de la recourante à une demi-rente, singulièrement sur la question de savoir si l’état de santé de la recourante s’est amélioré depuis le dernier examen matériel par l’intimé du droit à la rente d’invalidité de cette dernière.</w:t>
      </w:r>
    </w:p>
    <w:p>
      <w:r>
        <w:rPr>
          <w:b/>
        </w:rPr>
        <w:t>E. 5</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w:t>
      </w:r>
    </w:p>
    <w:p>
      <w:r>
        <w:t>- 25/44-</w:t>
      </w:r>
    </w:p>
    <w:p>
      <w:r>
        <w:t>A/1232/2016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- 26/44-</w:t>
      </w:r>
    </w:p>
    <w:p>
      <w:r>
        <w:t>A/1232/2016</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- 27/44-</w:t>
      </w:r>
    </w:p>
    <w:p>
      <w:r>
        <w:t>A/1232/2016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- 28/44-</w:t>
      </w:r>
    </w:p>
    <w:p>
      <w:r>
        <w:t>A/1232/2016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w:t>
      </w:r>
    </w:p>
    <w:p>
      <w:r>
        <w:t>- 29/44-</w:t>
      </w:r>
    </w:p>
    <w:p>
      <w:r>
        <w:t>A/1232/2016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- 30/44-</w:t>
      </w:r>
    </w:p>
    <w:p>
      <w:r>
        <w:t>A/1232/2016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w:t>
      </w:r>
    </w:p>
    <w:p>
      <w:r>
        <w:t>- 31/44-</w:t>
      </w:r>
    </w:p>
    <w:p>
      <w:r>
        <w:t>A/1232/2016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w:t>
      </w:r>
    </w:p>
    <w:p>
      <w:r>
        <w:t>- 32/44-</w:t>
      </w:r>
    </w:p>
    <w:p>
      <w:r>
        <w:t>A/1232/2016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w:t>
      </w:r>
    </w:p>
    <w:p>
      <w:r>
        <w:t>- 33/44-</w:t>
      </w:r>
    </w:p>
    <w:p>
      <w:r>
        <w:t>A/1232/2016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- 34/44-</w:t>
      </w:r>
    </w:p>
    <w:p>
      <w:r>
        <w:t>A/1232/2016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- 35/44-</w:t>
      </w:r>
    </w:p>
    <w:p>
      <w:r>
        <w:t>A/1232/2016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w:t>
      </w:r>
    </w:p>
    <w:p>
      <w:r>
        <w:t>- 36/44-</w:t>
      </w:r>
    </w:p>
    <w:p>
      <w:r>
        <w:t>A/1232/2016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15</w:t>
      </w:r>
    </w:p>
    <w:p>
      <w:r>
        <w:t>Par ordonnance du 22 septembre 2016 (ATAS/753/2016), la chambre de céans a confié une expertise bidisciplinaire aux Drs U______ et T______ en considérant ce qui suit : En l'espèce, l’intimé, dans la décision litigieuse, a considéré que l’état de santé de la recourante s’était amélioré, de telle sorte qu’elle avait recouvré une capacité de travail de 50% ; il s’est fondé pour cela sur les expertises des Drs M______ et K______, le premier concluant à une capacité de travail totale, du point de vue neurologique, et le second, à une capacité de travail de 50% depuis début 2001. Le SMR a précisé, le 13 novembre 2015, que les expertises étaient pleinement convaincantes, mais que, contrairement à l’avis du Dr K______, on ne pouvait attester une nette amélioration de l’état clinique de l’assurée qu’en 2003, suite à l’intervention bariatique. L’intimé a ainsi considéré que l’amélioration de l’état de santé de la recourante était documentée depuis 2003. La recourante se prévaut du fait que l’intimé a procédé au dernier examen matériel du droit à sa rente d’invalidité le 22 mai 2008, et qu’aucune amélioration de son état de santé n’a été constatée par les experts postérieurement au 22 mai 2008, ce d’autant que les expertises des Drs I______ et K______ n’ont aucune valeur probante. L’intimé conteste le fait que la communication du 22 mai 2008 repose sur une évaluation matérielle des faits et en conclut que la situation de la recourante au jour de la réduction de la prestation doit être comparée avec l’état de fait existant lors de l’octroi initial de la rente, soit le 7 septembre 2001.</w:t>
      </w:r>
    </w:p>
    <w:p>
      <w:r>
        <w:t>- 37/44-</w:t>
      </w:r>
    </w:p>
    <w:p>
      <w:r>
        <w:t>A/1232/2016 En l’état, la question de savoir si la communication du 22 mai 2008 peut être qualifiée d’examen matériel du droit à la rente d’invalidité de la recourante peut rester ouverte dès lors qu’une instruction complémentaire, par le biais d’une expertise bidisciplinaire, psychiatrique et orthopédique, se justifie et que la mission d’expertise comprendra une question générale sur une éventuelle modification de l’état de santé de la recourante depuis l’octroi initial de la rente d’invalidité, en septembre 2001. S’agissant de la nécessité d’une instruction médicale complémentaire, il convient de relever que du point de vue orthopédique, le Dr X______, suite à l’IRM du 22 septembre 2015, a attesté d’une déchirure de la coiffe des rotateurs supérieure accompagnée par une arthropathie acromio-claviculaire symptomatique ; or, la Dresse H______, dans son expertise du 15 novembre 2011, avait uniquement constaté une tendinopathie calcifiante des tendons de la coiffe des rotateurs de l’épaule droite, de sorte que la pathologie de l’épaule de la recourante semble s’être aggravée et cela antérieurement à la décision litigieuse du 9 mars 2016 ; du point de vue psychiatrique, l’expertise du Dr K______, ordonnée par l’intimé, n’emporte pas la conviction ; le Dr K______ conclut à la présence d’une incapacité de travail de 50 % dans toute activité en raison d’un trouble de la personnalité sans précision, présent depuis l’adolescence et estime que la recourante aurait récupéré une capacité de travail de 50 % depuis 2001. Or, comme relevé par la recourante, cette conclusion n’est pas cohérente dès lors que la recourante a travaillé jusqu’en mai 1999, date à laquelle elle a présenté une incapacité de travail totale, alors même qu’elle présentait, selon l’expert K______, un trouble de la personnalité depuis l’adolescence ; par ailleurs, l’intimé s’est lui aussi écarté des conclusions de l’expert en estimant que l’amélioration constatée par le Dr K______ s’est produite en 2003 suite à l’intervention bariatique et non pas en 2001 comme attesté par l’expert ; par ailleurs, l’intimé a diligenté une enquête concernant une éventuelle impotence le 1er décembre 2006, laquelle a abouti à l’octroi d’une allocation pour impotent de degré moyen à la recourante depuis le 1er novembre 2004, motivée par la constatation de graves troubles dépressifs impliquant la nécessité de la part des proches de stimuler la recourante pour se vêtir, se laver, se soigner et sortir ; or, l’intimé n’explique pas de quelle manière, au vu des constatations de l’enquête ménagère du 1er décembre 2006, la recourante aurait présenté une amélioration de son état de santé depuis 2003, voire, selon le Dr K______, depuis 2001, entraînant une récupération d’une capacité de travail de 50 % depuis lors. Enfin, le Dr C______, psychiatre traitant de la recourante depuis de longues années, soit depuis 1999, a rendu des avis clairement contraires à celui du Dr K______ que ce soit du point de vue des diagnostics posés que de l’évaluation de la capacité de travail de la recourante (avis du Dr C______ des 4 octobre 2000, 21 septembre 21004, 23</w:t>
      </w:r>
    </w:p>
    <w:p>
      <w:r>
        <w:t>- 38/44-</w:t>
      </w:r>
    </w:p>
    <w:p>
      <w:r>
        <w:t>A/1232/2016 janvier 2006, 10 septembre 2007, 4 avril 2011, 22 septembre 2011 et 22 mars 2016). Au vu de ce qui précède et contrairement à l’avis de l’intimé, une expertise bidisciplinaire orthopédique et psychiatrique se justifie, le dossier de la recourante ne comprenant en particulier pas d’avis orthopédique et psychiatrique complet et probant permettant d’évaluer la capacité de travail de la recourante. Celle-ci sera confiée aux Drs T______, FMH psychiatrie et psychothérapie, et U______, FMH chirurgie orthopédique et traumatologie de l’appareil locomoteur. Certains médecins ayant évoqué un diagnostic de fibromyalgie (avis des 9 octobre 2004, 12 janvier 2006, 14 septembre 2007 du Dr E______), remis en question toutefois par le Dr J______ le 23 février 2012, voire de trouble somatoforme (expertise des 15 novembre 2011 de la Dresse H______) ou encore de douleurs chroniques (expertise du 4 janvier 2012 de la Dresse I______), il convient en toute hypothèse de poser à l’expert psychiatre les questions pertinentes en présence d’un diagnostic de trouble somatoforme douloureux ou de fibromyalgie, en application de la jurisprudence précitée (ATF 141 V 281). Une appréciation consensuelle du cas sera en outre exigée des experts.</w:t>
      </w:r>
    </w:p>
    <w:p>
      <w:r>
        <w:rPr>
          <w:b/>
        </w:rPr>
        <w:t>E. 16</w:t>
      </w:r>
    </w:p>
    <w:p>
      <w:r>
        <w:t>L’expertise du Dr T______, fondée notamment sur un long entretien avec la recourante, une analyse de la médication psychotrope, un consilium avec le psychiatre-traitant, des tests (échelle de Hamilton et de Beck et questionnaire sur les attaques de panique et l’agoraphobie) et comprenant une anamnèse très fouillée, un résumé des plaintes de la recourante, une analyse du traitement en cours, des diagnostics motivés de façon précise, des conclusions claires et une prise de position sur les avis psychiatriques antérieurs, répond aux réquisits jurisprudentiel précités pour qu’il lui soit reconnu une pleine valeur probante. Le Dr T______ constate une incapacité de travail totale de la recourante, présente depuis 1999.</w:t>
      </w:r>
    </w:p>
    <w:p>
      <w:r>
        <w:rPr>
          <w:b/>
        </w:rPr>
        <w:t>E. 17</w:t>
      </w:r>
    </w:p>
    <w:p>
      <w:r>
        <w:t>Les critiques émises par le SMR le 31 mai 2017 ne sont pas propre à mettre en doute la valeur probante de l’expertise. a. Le SMR remarque que le code F 32.5 de la CIM-10 n’est pas correct. Il n’en tire cependant pas de conclusion ; en particulier il ne remet pas en cause l’existence d’un trouble dépressif caractérisé, isolé, en rémission partielle, gravité actuelle légère tel qu’expliqué par l’expert. La référence au DSM-V permet en tout état de constater que l’expert a posé un diagnostic clair [trouble dépressif majeur, épisode isolé, en rémission partielle (296.25)].</w:t>
      </w:r>
    </w:p>
    <w:p>
      <w:r>
        <w:t>- 39/44-</w:t>
      </w:r>
    </w:p>
    <w:p>
      <w:r>
        <w:t>A/1232/2016 b. Le SMR estime que la majoration de symptômes physiques pour des raisons psychologiques doit être confirmée sur la base des rapports des Drs K______ et I______, même si le Dr T______ affirme le contraire. Or, le Dr T______ a démontré de façon convaincante que le comportement de la recourante était cohérent (expertise T______ p. 78) ; il a analysé cette question en expliquant que la recourante, mise en confiance au jour de l’entretien, était peu plaintive, nullement démonstrative, ses plaintes algiques étaient précises et localisées et elle donnait l’impression d’une parfaite authenticité ; le Dr T______ a expliqué pour quelles raisons les experts I______ et K______ avaient pu interpréter le comportement de l’assurée comme une exagération des symptômes ; il a en particulier relevé qu’en présence, comme c’est le cas en l’espèce, d’une décompensation de la personnalité globale, la discrépance entre les symptômes décrits et leur substrat organique fait partie du fonctionnement de la personnalité et agit comme défense psychologique (expertise T______ p. 79). S’agissant de l’expertise des Drs I______ et K______, le SMR se contente d’affirmer qu’elles ont valeur probante, sans toutefois répondre aux critiques émises à leur encontre par la chambre de céans dans l’ordonnance d’expertise du</w:t>
      </w:r>
    </w:p>
    <w:p>
      <w:r>
        <w:rPr>
          <w:b/>
        </w:rPr>
        <w:t>E. 22</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w:t>
      </w:r>
    </w:p>
    <w:p>
      <w:r>
        <w:t>- 43/44-</w:t>
      </w:r>
    </w:p>
    <w:p>
      <w:r>
        <w:t>A/1232/2016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En l’occurrence, on ne peut reprocher à l’intimé de ne pas avoir investigué plus avant, par le biais d’une appréciation orthopédique, l’état de santé de la recourante, l’IRM du 22 septembre 2015 attestant d’une aggravation de l’atteinte à l’épaule droite ne lui ayant été communiquée qu’après la décision litigieuse. En revanche, les frais de l’expertise psychiatrique du Dr T______ de CHF 12'194.60 [soit CHF 12'000 (expertise) + CHF 30.60 (analyses médicales du laboratoire Meditest) + CHF 164.- (laboratoire Lavigny Sàrl)] seront mis à la charge de l’intimé, celui-ci ayant renoncé à investiguer la problématique psychiatrique, alors même que l’expertise du Dr K______ n’avait manifestement pas de valeur probante, qu’en particulier elle contenait des contradictions que l’intimé a lui-même souligné, notamment en modifiant la date de survenue de l’amélioration de l’état de santé de la recourante alléguée par l’expert. ***</w:t>
      </w:r>
    </w:p>
    <w:p>
      <w:r>
        <w:t>- 44/44-</w:t>
      </w:r>
    </w:p>
    <w:p>
      <w:r>
        <w:t>A/1232/2016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