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ATAS/818/2010 vom 29. Oktober 2009</w:t>
      </w:r>
    </w:p>
    <w:p>
      <w:r>
        <w:t>GE Cour de justice, 2009-10-29, FR</w:t>
      </w:r>
    </w:p>
    <w:p>
      <w:r>
        <w:rPr>
          <w:b/>
        </w:rPr>
        <w:t xml:space="preserve">Quelle: </w:t>
      </w:r>
      <w:r>
        <w:t>https://mcp.opencaselaw.ch/entscheid/ge_gerichte_ATAS_818_2010</w:t>
      </w:r>
    </w:p>
    <w:p>
      <w:r>
        <w:t>FR: GE_GERICHTE ATAS/818/2010 du 29 octobre 2009</w:t>
      </w:r>
    </w:p>
    <w:p>
      <w:r>
        <w:t>IT: GE_GERICHTE ATAS/818/2010 del 29 ottobre 2009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</w:t>
      </w:r>
    </w:p>
    <w:p>
      <w:r>
        <w:t>A/4255/2009 - 3/4 - Que le recours a été retiré ; Qu’il convient d’en prendre acte et de rayer la cause du rôle ;</w:t>
      </w:r>
    </w:p>
    <w:p>
      <w:r>
        <w:t>A/4255/2009 - 4/4 -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