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ATAS/817/2025 vom 27. Oktober 2025</w:t>
      </w:r>
    </w:p>
    <w:p>
      <w:r>
        <w:t>GE Cour de justice, 2025-10-27, FR</w:t>
      </w:r>
    </w:p>
    <w:p>
      <w:r>
        <w:rPr>
          <w:b/>
        </w:rPr>
        <w:t xml:space="preserve">Quelle: </w:t>
      </w:r>
      <w:r>
        <w:t>https://mcp.opencaselaw.ch/entscheid/ge_gerichte_ATAS_817_2025</w:t>
      </w:r>
    </w:p>
    <w:p>
      <w:r>
        <w:t>FR: GE_GERICHTE ATAS/817/2025 du 27 octobre 2025</w:t>
      </w:r>
    </w:p>
    <w:p>
      <w:r>
        <w:t>IT: GE_GERICHTE ATAS/817/2025 del 27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A/938/2025 - 6/23 - 2000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Interjeté dans la forme (art. 61 let. b LPGA) et le délai de trente jours (art. 60 al. 1 LPGA ; art. 62 al. 1 let. a LPA) prévus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2.2</w:t>
      </w:r>
    </w:p>
    <w:p>
      <w:r>
        <w:t>En l’occurrence, la décision querellée porte sur l’octroi d’une rente dont le droit est né postérieurement au 31 décembre 2021, de sorte que les dispositions légales applicables seront citées dans leur nouvelle teneur.</w:t>
      </w:r>
    </w:p>
    <w:p>
      <w:r>
        <w:rPr>
          <w:b/>
        </w:rPr>
        <w:t>E. 3</w:t>
      </w:r>
    </w:p>
    <w:p>
      <w:r>
        <w:t>Le litige porte sur le droit éventuel de la recourante à une rente entière d'invalidité à compter du 1er juillet 2023, singulièrement sur son statut et sa capacité de travail résiduelle dans une activité adaptée.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w:t>
      </w:r>
    </w:p>
    <w:p>
      <w:r>
        <w:t>A/938/2025 - 7/23 -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w:t>
      </w:r>
    </w:p>
    <w:p>
      <w:r>
        <w:t>A/938/2025 - 8/23 -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A/938/2025 - 9/23 -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w:t>
      </w:r>
    </w:p>
    <w:p>
      <w:r>
        <w:t>A/938/2025 - 10/23 - 28 consid. 2.3 et les références ; 141 V 15 consid. 3.1 ; 137 V 334 consid. 3.2 ; 125 V 146 consid. 2c et les références).</w:t>
      </w:r>
    </w:p>
    <w:p>
      <w:r>
        <w:rPr>
          <w:b/>
        </w:rPr>
        <w:t>E. 4.4.1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t>A/938/2025 - 11/23 - Selon l’art. 26 al. 1 1re phrase RAI, le revenu sans invalidité (art. 16 LPGA) est déterminé en fonction du dernier revenu de l’activité lucrative effectivement réalisé avant la survenance de l’invalidité.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le revenu avec invalidité est déterminé en fonction des valeurs statistiques visées à l’art. 25 al. 3 RAI (art. 26bis al. 2 RAI).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 13 août 2012 consid. 3). 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RAI de 50% ou moins, une déduction de 20% est opérée. Aucune déduction supplémentaire n’est possible. Pour les droits à la rente qui prennent naissance entre le 1er janvier 2022 et le 31 décembre 2023 – de même que pour les droits à la rente qui ont dû être adaptés entre le 1er janvier 2022 et le 31 décembre 2023 en raison d'une révision ou d'un octroi échelonné avec effet rétroactif –, il convient de tenir compte de l'ATF 150</w:t>
      </w:r>
    </w:p>
    <w:p>
      <w:r>
        <w:t>A/938/2025 - 12/23 - V 410. Cela signifie que lors de la détermination du revenu avec invalidité en se fondant sur des données statistiques, il faut également examiner la pertinence de l'application d'un éventuel abattement dû à l'atteinte à la santé conformément à la jurisprudence en vigueur avant le 1er janvier 2022, en sus de l'abattement de 10% prévu pour le travail à temps partiel par l'art. 26bis al. 3 RAI, dans sa teneur en vigueur du 1er janvier 2022 au 31 décembre 2023 (arrêt du Tribunal fédéral 9C_111/2025 du 29 avril 2025 consid. 5.1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w:t>
      </w:r>
    </w:p>
    <w:p>
      <w:r>
        <w:rPr>
          <w:b/>
        </w:rPr>
        <w:t>E. 4.4.2</w:t>
      </w:r>
    </w:p>
    <w:p>
      <w:r>
        <w:t>Selon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Selon l’art. 28a al. 3 LAI, dans sa teneur en vigueur dès le 1er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Selon l’art. 27bis al. 1 RAI, le taux d’invalidité des personnes qui exercent une activité lucrative à temps partiel est déterminé par l’addition des taux suivants : le</w:t>
      </w:r>
    </w:p>
    <w:p>
      <w:r>
        <w:t>A/938/2025 - 13/23 - taux d’invalidité en lien avec l’activité lucrative (let. a) ; le taux d’invalidité en lien avec les travaux habituels (let. b). Selon l’art. 27bis al. 2 RAI, le taux d’invalidité en lien avec l’activité lucrative est déterminé : en extrapolant le revenu sans invalidité pour une activité lucrative correspondant à un taux d’occupation de 100% (let. a) ; en calculant le revenu avec invalidité sur la base d’une activité lucrative correspondant à un taux d’occupation de 100% et en l’adaptant selon la capacité fonctionnelle déterminante (let. b) ; en pondérant la perte de gain exprimée en pourcentage en fonction du taux d’occupation qu’aurait l’assuré s’il n’était pas invalide (let. c). Selon l’art. 27bis al. 3 RAI, le taux d’invalidité en lien avec les travaux habituels est calculé : en déterminant le pourcentage que représentent les limitations dans les travaux habituels par rapport à la situation dans laquelle l’assuré serait sans invalidité (let. a) ; en pondérant le pourcentage déterminé à la let. a en fonction de la différence entre le taux d’occupation visé à l’al. 2 let. c et une activité lucrative exercée à plein temps (let.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t>A/938/2025 - 14/23 -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in VSI 2003 p. 221 ; arrêts du Tribunal fédéral 9C_625/2017 du 26 mars 2018 consid. 6.2 ; I.733/06 du 16 juillet 2007).</w:t>
      </w:r>
    </w:p>
    <w:p>
      <w:r>
        <w:rPr>
          <w:b/>
        </w:rPr>
        <w:t>E. 4.5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L’art. 17 al. 1 LPGA (dans sa teneur en vigueur depuis le 1er janvier 2022) dispose que la rente d'invalidité est, d'office ou sur demande, révisée pour l'avenir, à savoir augmentée, réduite ou supprimée, lorsque le taux d'invalidité de l'assuré : subit une modification d'au moins cinq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w:t>
      </w:r>
    </w:p>
    <w:p>
      <w:r>
        <w:t>A/938/2025 - 15/23 - changement déterminant a duré trois mois déjà, sans interruption notable et sans qu’une complication prochaine soit à craindre. Ce délai de trois mois s'applique notamment lorsqu'une rente échelonnée dans le temps est accordée à titre rétroactif (ATF 125 V 413 consid. 2d ; arrêt du Tribunal fédéral 9C_900/2013 du 8 avril 2014 consid. 6.2). La modification du droit à la rente n’intervient qu’après l’écoulement de trois mois complets (voir arrêt du Tribunal fédéral 9C_900/2013 du 8 avril 2014 consid. 6.5 pour un exemple de calcul lorsque l’amélioration ne survient pas en début de mois).</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 5.1 En l'espèce, en ce qui concerne le statut de la recourante, cette dernière, née le 1er mai 1965, était âgée de 41 ans lorsqu'elle est arrivée en Suisse le 1er mars 2007, tandis que ses deux filles avaient 19 ans respectivement 13 ans, soit des âges compatibles avec l'exercice d'une activité lucrative à plein temps. Il ressort toutefois de l'extrait du compte individuel AVS de la recourante (dossier AI p. 43- 44), qui travaillait en qualité de femme de ménage, que les revenus déclarés s'élevaient à CHF 15'823.- en 2007, CHF 8'901.- en 2008, CHF 20'186.- en 2009, CHF 62'190.- en 2010, CHF 52'915.- en 2011, CHF 39'861.- en 2012, CHF 31'462.- en 2013, CHF 30'006.- en 2014, CHF 18'304.- en 2015, CHF 45'489.- en 2016, CHF 38'712.- en 2017, CHF 46'739.- en 2018, CHF 39'096.- en 2019, CHF 32'709.- en 2020 et CHF 33'134.- en 2021. Force est de constater que depuis 2012 en tout cas, soit dix ans avant le début de son incapacité de travail durable le 20 juillet 2022 (p. 273), les revenus déclarés de la recourante attestent l'exercice d'un emploi à temps partiel. Le fait que l'entreprise de nettoyage auprès de laquelle la recourante collaborait depuis le 1er décembre 2015 ait mentionné dans le questionnaire pour l'employeur (dossier AI document 14) que le nombre d'heures par semaine effectué par la recourante était de 22h45 depuis le 1er janvier 2022 (p. 61) ne signifie pas que celle-ci aurait travaillé à plein temps auparavant, compte tenu des revenus déclarés, comme on vient de le relever. En outre, dans la demande de prestations AI du 18 janvier 2023, signée par la recourante, il est indiqué qu'elle travaillait comme femme de ménage à 50% depuis 2015. Il convient donc d'accorder la préférence aux premières déclarations</w:t>
      </w:r>
    </w:p>
    <w:p>
      <w:r>
        <w:t>A/938/2025 - 16/23 - faites. Par ailleurs, certes, selon le courrier de l'office cantonal de l'emploi du 5 mars 2024, le taux d'activité recherchée par la recourante était de 100% (dossier AI p. 244). Cependant, contrairement aux allégations de la recourante, il ressort du formulaire « Preuves des recherches personnelles effectuées en vue de trouver un emploi » pour le mois de février 2024 (p. 251) qu'elle n'a pas cherché une activité à plein temps, mais uniquement à temps partiel. Ainsi, il n’est pas vraisemblable qu'au moment du prononcé de la décision litigieuse le 14 février 2025, la recourante, même en bonne santé, aurait travaillé à temps complet. La chambre de céans ne donnera pas suite à la demande d'audition de l'époux et des deux enfants majeures de la recourante. En effet, leur témoignage ne sera pas suffisant pour admettre le contraire. Leur lien de parenté directe et l'esprit de solidarité entre eux imposent d’apprécier leur témoignage avec circonspection. Enfin, la part respective de l'activité professionnelle (63%) et des travaux ménagers (37%) peut être confirmée. Le premier taux est dans tous les cas plus favorable à la recourante, dès lors que dans la déclaration de maladie du 22 août 2022 (p. 115), avant celle du 17 mars 2023 (p. 173), l'entreprise de nettoyage qui employait la recourante a déclaré un taux d'occupation contractuel de 52%, auquel l'intimé a ajouté 10% (p. 263) pour tenir compte du taux d'occupation auprès d'un particulier, ce qui mène à un total de 62%, inférieur au taux de 63% retenu par l’intimé. 5.2 En ce qui concerne la capacité de travail de la recourante, il n'est pas contesté qu'elle n'est plus apte à exercer son activité habituelle de femme de ménage depuis le 20 juillet 2022. En revanche, dans une activité adaptée à son état de santé, l'intimé considère qu'elle dispose d'une capacité de travail de 50% depuis le 26 octobre 2023, en s'appuyant sur les avis du SMR des 26 janvier 2024 (p. 229-231) et 9 décembre 2024 (p. 380-381). Dans son avis du 26 janvier 2024, le SMR a retenu les diagnostics incapacitants de tendinopathie du sus-épineux et de l'infra-épineux, de syndrome de l'angulaire et rupture du subscapulaire de l'épaule droite, et de rhizarthrose bilatérale sévère opérée des deux côtés à trois reprises. Il a conclu que la capacité de travail de la recourante, nulle dans l'activité habituelle depuis le 20 juillet 2022, était de 50% dans une activité adaptée ne nécessitant pas l'élévation des bras au-dessus de l'horizontale, l'utilisation de la pince pollicidigitale, les mouvements de dextérité fine avec les pouces, les escaliers en lien avec la rampe, les mouvements de flexion / extension des deux poignets, sans port de charges supérieures à 5 kg et sans activités répétitives avec le membre supérieur droit, depuis le 26 octobre 2023, date de la dernière consultation auprès du chirurgien de la main. Le SMR a expliqué que, sur le plan rhumatologique, la recourante avait présenté une tendinopathie du supra-épineux de l'épaule droite avec signe de conflit sous-acromial traitée par infiltration sous-acromiale le 21 juillet 2022 par le</w:t>
      </w:r>
    </w:p>
    <w:p>
      <w:r>
        <w:t>A/938/2025 - 17/23 - docteur D______, spécialiste en rhumatologie, avec soulagement temporaire (dossier AI p. 79-80). La recourante avait été revue le 18 janvier 2023 par ce médecin, qui retenait une tendinopathie de l'épaule droite avec syndrome de l'angulaire droit, ayant nécessité une infiltration de corticoïde du tendon levator scapulae droit (angulaire de l'omoplate droite ; p. 118). Le 20 février 2023, la recourante avait toujours des douleurs de l'épaule droite (p. 119). Dans son rapport du 20 février 2023, le Dr D______ attestait d'une capacité de travail nulle dans l'activité habituelle, mais de 50% dans une activité adaptée ne comportant pas de travaux lourds, pas de travaux avec les bras en hauteur et peu d'activité du membre supérieur droit (p. 119-120). L'arthro-IRM de l'épaule droite du 27 février 2023 montrait une rupture partielle étendue touchant les ¾ du tendon subscapulaire, avec une subluxation médiale du long chef du biceps, et une tendinopathie des supra-épineux et infra-épineux (p. 198-199). Dans son rapport du 21 octobre 2023, le Dr D______ attestait des limitations pour les activités avec le bras droit en hauteur, le port de charges lourdes, et des activités manuelles répétitives du membre supérieur droit. Dans une activité adaptée de l'épargne des épaules, la capacité de travail était de 50% depuis l'été 2022 (p. 194-195). Sur le plan de la chirurgie de la main, la recourante était suivie par le Dr C______, chirurgien de la main, qui mettait en évidence le 28 juillet 2022 un kyste palmaire du poignet droit (recte : gauche ; p. 81). Une angio-IRM et une IRM du poignet gauche du 16 septembre 2022 révélaient un angiome en provenance de l'artère radiale du poignet gauche et une rhizarthrose de stade III (p. 111-112). Le 4 octobre 2022, la recourante avait subi une résection de l'angiome avec arthrolyse de l'artère radiale et neurolyse du nerf médian, ainsi qu'une infiltration de l'articulation trapézo-métacarpienne du poignet gauche (p. 151). L'évolution post- opératoire était marquée par des paresthésies au niveau de la cicatrice nécessitant une désensibilisation (p. 152). Le 12 janvier 2023, une ténosynovite sténosante des 3e et 4e doigts de la main gauche était infiltrée (p. 153). Par la suite, la recourante présentait une masse douloureuse de la base du pouce droit correspondant à une rhizarthrose avec image compatible avec un ostéochondrome et kyste de l'articulation interphalangienne (p. 154) ayant nécessité le 6 mars 2023 une arthroplastie prothétique de l'articulation trapézo-métacarpienne et une résection du kyste de l'articulation interphalangienne (p. 212). Dans son rapport du 10 avril 2023, le Dr C______ indiquait que l'évolution post-opératoire était trop récente et qu'il fallait attendre au moins trois mois post-opératoires pour évaluer une reprise éventuelle de l'activité. L'activité habituelle était compromise à priori. La capacité de travail était nulle dans toute activité (p. 146-149). Le 20 juin 2023, la recourante avait été opérée d'une rhizarthrose du pouce (gauche) avec résection d'un kyste arthrosynovial antérieur radiocarpien et synovectomie et arthroplastie prothétique de l'articulation trapézo-métacarpienne du poignet gauche (p. 217). Le 21 septembre 2023, une infiltration de la cicatrice antérieure du poignet gauche avait été effectuée en raison de la douleur de la cicatrice malgré l'ergothérapie (p. 193). Dans son rapport du 30 octobre 2023, le Dr C______</w:t>
      </w:r>
    </w:p>
    <w:p>
      <w:r>
        <w:t>A/938/2025 - 18/23 - attestait à titre de limitations des douleurs à la flexion/extension du poignet gauche ainsi qu'à la charge et au toucher de la cicatrice. Il attestait une capacité de travail de 50% dans une activité adaptée épargnant les deux poignets (p. 206-208). Dans son rapport du 8 mars 2023, la Dre B______, médecin généraliste traitante, mentionnait comme atteintes à la santé sans répercussion sur la capacité de travail : un épisode dépressif en 2003, un AVC sans séquelle en 2004, une hypertension artérielle, des vertiges récidivant sur un déficit vestibulaire périphérique à gauche compensée, un syndrome d'apnée du sommeil traitée par CPAP, une hypercholestérolémie, un anévrisme carotido-ophtalmique gauche non rompu stable depuis dix ans et un diabète (p. 38, 40, 131, 143-145, 190). La Dre B______ attestait d'un état non stabilisé au vu de la convalescence post-chirurgie du poignet gauche et de l'intervention prévue au niveau du pouce droit. La capacité de travail de la recourante était nulle dans toute activité (p. 130- 134). Dans son rapport du 16 octobre 2023, la Dre B______ faisait état d'une impotence fonctionnelle des deux poignets et de l'épaule droite (p. 190-192). Par avis du 30 septembre 2024 (dossier AI p. 323-324), le SMR s'est prononcé sur les nouvelles pièces médicales produites par la recourante dans le cadre de son audition. Il a constaté une nouvelle atteinte sous forme d'une ténosynovite du tendon fléchisseur radial du carpe à gauche, mise en évidence par le Dr C______ dans un rapport du 19 décembre 2023, avec status post ponction/infiltration échoguidée le 28 novembre 2023 (p. 306), dont l'évolution n'était pas connue. Sur ce, le SMR a invité l'intimé à poser des questions à ce médecin. Ce dernier a répondu auxdites questions dans un rapport du 21 novembre 2024 (p. 373). Par avis du 9 décembre 2024 (p. 380-381), le SMR a indiqué que le Dr C______ retenait des douleurs lors de la mise en charge du poignet gauche ainsi qu'à la palpation de la cicatrice à titre de limitations fonctionnelles, sans attester d'incapacité de travail lors de son dernier contrôle le 10 octobre 2024. Sur cette base, le SMR a considéré que ses conclusions précédentes demeuraient valables. Les conclusions du SMR reposent sur l'étude des pièces médicales au dossier, qui se fondent sur l'examen personnel de la recourante. Les médecins traitants n'ont pas retenu d'autres limitations fonctionnelles somatiques que celles énumérées par le SMR, étant précisé que l'avis des spécialistes en rhumatologie et en chirurgie de la main en ce qui concerne la capacité de travail résiduelle de la recourante dans une activité adaptée (50%) l'emporte sur celui de la médecin généraliste (0%). En outre, aucun rapport médical au dossier n'atteste que la recourante présenterait un état dépressif incapacitant ayant valeur de maladie. En l'absence de rapport médical mettant en doute les explications circonstanciées du SMR, il y a lieu d'admettre, avec l'intimé, que la capacité de travail de la recourante, nulle dans l'activité habituelle depuis le 20 juillet 2022, est de 50% dans une activité adaptée à compter du 26 octobre 2023.</w:t>
      </w:r>
    </w:p>
    <w:p>
      <w:r>
        <w:t>A/938/2025 - 19/23 - Aussi, par appréciation anticipée des preuves (ATF 122 II 464 consid. 4a), est-il superflu d'entendre oralement la recourante (qui s'est déjà exprimée par écrit) et ses médecins traitants, ou de mettre en œuvre une expertise judiciaire. À toutes fins utiles, il sera rappelé que l'intimé n'était pas obligé de mettre en œuvre un stage aux EPI. Certes, les constatations médicales peuvent être complétées par des renseignements d'ordre professionnel, par exemple au terme d'un stage dans un centre d'observation professionnel de l'assurance-invalidité (arrêt du Tribunal fédéral I.778/05 du 11 janvier 2007 consid. 6.1). Toutefois,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5.3 En ce qui concerne les empêchements de la recourante dans la sphère ménagère, la chambre de céans constate que l'enquête économique sur le ménage a été effectuée par une personne qualifiée au domicile de la recourante, en présence de cette dernière. L'évaluatrice a rappelé les atteintes à la santé dont celle-ci souffre et a pris en compte ses limitations fonctionnelles dans l'évaluation des empêchements ménagers. Elle a également relaté les indications de la recourante concernant les tâches qu'elle accomplissait avant son atteinte à la santé, celles qu'elle continue à effectuer depuis lors, seule ou avec l'aide de son époux, étant précisé que l'évaluatrice a tenu compte des horaires de travail de l'époux dans l'exigibilité retenue (dossier AI p. 236). Les conclusions du rapport d'enquête économique sur le ménage du 1er mars 2024 reposent donc sur un examen concret des circonstances du cas d'espèce. Il y a dès lors lieu de suivre les conclusions de l'évaluatrice selon lesquelles l'empêchement de la recourante avant l'obligation de réduire le dommage est de 28.2%, l'exigibilité de l'entourage de 17.9% (correspondant à 3.48h par semaine) et l'empêchement après l'obligation de réduire le dommage de 10.3%. Il sera relevé que la durée hebdomadaire de quatre heures environ pour la tenue du ménage à charge de l'entourage (époux) représente une durée de 34 minutes par jour environ (quatre heures × 60 minutes = 240 minutes / sept jours = 34 minutes) à charge de celui-ci. Ainsi, la prise en compte d'une aide de l'entourage de l'ordre de 17.9% n'apparaît pas excéder ce qui peut être raisonnablement exigé des membres de la famille dans le cadre de l'obligation de diminuer le dommage. 5.4 Il convient à présent de procéder aux calculs du degré d'invalidité global de la recourante, compte tenu d'une part professionnelle de 63% et d'une part consacrée aux activités ménagères de 37%.</w:t>
      </w:r>
    </w:p>
    <w:p>
      <w:r>
        <w:t>A/938/2025 - 20/23 - Pour la période dès le 1er juillet 2023, à l'issue du délai d'attente d'un an (art. 28 al. 1 let. b et c LAI), le taux d'invalidité dans la sphère professionnelle est de 63% (63% × 100%). Dans la sphère ménagère, il est de 3.8% (37% × 10.3%). Partant, un degré d'invalidité global de 66.8%, arrondi à 67% (ATF 130 V 121 consid. 3.2), donne le droit à une quotité de la rente correspondant à ce taux (art. 28b al. 2 LAI), comme retenu par l'intimé. Afin de calculer l'incapacité de gain de la recourante dans la sphère professionnelle à compter du 26 octobre 2023, date à partir de laquelle son état de santé s'est amélioré, dans la mesure où le changement important de la capacité de travail ayant une incidence sur la capacité de gain remonte à cette date, il convient de se placer en 2023 pour procéder à la comparaison des revenus (arrêt du Tribunal fédéral I.95/07 du 15 février 2008 consid. 5). S'agissant du revenu avec invalidité en 2023, dès lors que la recourante n'a pas repris d'activité professionnelle, le revenu d'invalide peut être évalué sur la base des statistiques salariales figurant dans l'ESS.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(arrêt du Tribunal fédéral 9C_279/2008 du 16 décembre 2008 consid. 4). D'après l'ESS 2022 (qui, publié le 29 mai 2024, l’était donc au moment déterminant de la décision litigieuse du 14 février 2025 [arrêt du Tribunal fédéral 8C_655/2016 du 4 août 2017 consid. 6.3]) – et non pas l'ESS 2020 appliqué à tort par l'intimé –, ce revenu s'élève à CHF 4'367.- par mois (tableau TA1_tirage_skill_level, niveau 1, total, femme, part au 13e salaire comprise) ou à CHF 52'404.- par année (4'367 × 12). Ce salaire hypothétique se base toutefois sur une durée hebdomadaire de travail de 40 heures, inférieure à la moyenne usuelle dans les entreprises. Il convient dès lors de l'ajuster à la durée hebdomadaire normale de travail en 2022, lequel est de 41.7 heures (tableau « Durée normale du travail dans les entreprises selon la division économique » de l'Office fédéral de la statistique), ce qui porte le salaire annuel à CHF 54'631.17 pour un plein temps (52'404 × 41.7 / 40). Après adaptation de ce montant à l'évolution des salaires nominaux pour les femmes en 2023 selon la table T39 publiée par l'Office fédéral de la statistique (ISS ; en 2022 : 2822 et en 2023 : 2872), le revenu avec invalidité s'élève à CHF 55'599.12 (54'631.17 × 2872 / 2822) ou à CHF 27'799.56 au vu de la capacité de travail raisonnablement exigible de 50% (55'599.12 / 2). À ce montant, il y a lieu d'opérer une déduction de 10% conformément à l'art. 26bis al. 3 RAI (dans sa teneur en vigueur jusqu'au 31 décembre 2023), sans</w:t>
      </w:r>
    </w:p>
    <w:p>
      <w:r>
        <w:t>A/938/2025 - 21/23 - qu'il n'y ait lieu d'appliquer un facteur de réduction supplémentaire en l'occurrence (ATF 150 V 410 consid. 10.6). En effet, les limitations fonctionnelles de la recourante ont déjà été prises en considération dans l'évaluation de sa capacité de travail ; il n'y a pas lieu, en sus, d'effectuer un abattement à ce titre (arrêts du Tribunal fédéral 9C_780/2023 du 23 avril 2024 consid. 6 ; 9C_677/2012 du 3 juillet 2013 consid. 2.2). En ce qui concerne le manque d'expérience de la recourante dans une nouvelle profession, il ne s'agit pas d'un facteur susceptible de jouer un rôle significatif sur ses perspectives salariales, dès lors 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8C_627/2023 du 3 juillet 2024 consid. 8.3). Par ailleurs, un abattement pour années de service n'est pas justifié dans le cadre du niveau de compétences 1 dès l'ESS 2012 (arrêt du Tribunal fédéral 8C_883/2015, 8C_884/2015 du 21 octobre 2016 consid. 6.3.2 et les références). De plus, les emplois non qualifiés sont, en règle générale, disponibles indépendamment de l'âge de la recourante sur le marché équilibré du travail (arrêts du Tribunal fédéral 8C_403/2017 du 25 août 2017 consid. 4.4.1 ; 8C_805/2016 du 22 mars 2017 consid. 3.4.3). Enfin, le critère de la nationalité de la recourante (portugaise) ne justifie pas non plus d'abattement sur le salaire statistique, d’autant qu’il ne l'a pas empêchée de trouver un emploi en Suisse et que les salaires statistiques sont établis en fonction de la population résidente aussi bien suisse qu'étrangère (arrêt du Tribunal fédéral I.640/00 du 16 avril 2002 consid. 4d/bb [résumé in : REAS 2002 p. 308]). D'ailleurs, selon la jurisprudence, les personnes ayant la nationalité d’un État de l’Union Européenne – telle la recourante – ne peuvent en principe pas être traitées différemment des travailleurs suisses en termes de salaire (arrêts du Tribunal fédéral 8C_20/2023 du 10 mai 2023 consid. 5.3 ; 8C_610/2017 du 3 avril 2018 consid. 4.4), étant souligné que la recourante ne prétend pas qu’elle aurait été pénalisée jusqu’à présent en Suisse. Vu la déduction de 10% sur le revenu d'invalide de CHF 27'799.56, ce dernier s'élève à CHF 25'019.604 (27'799.56 - 2'779.956). Compte tenu d'un revenu sans invalidité – non contesté – de CHF 53'771.- (dossier AI p. 257-260), il en résulte un taux d'invalidité de 53.47% ([53'771 - 25'019.604] / 53'771 × 100). Partant, le taux d'invalidité dans la sphère professionnelle de 33.68% (63% × 53.47%), additionné à celui de 3.8% (37% × 10.3%) dans la sphère ménagère,</w:t>
      </w:r>
    </w:p>
    <w:p>
      <w:r>
        <w:t>A/938/2025 - 22/23 - aboutit à un degré d'invalidité global de 37.48%, arrondi à 37%, au 26 octobre 2023. Toutefois, à partir du 1er janvier 2024, une déduction de 20% est imputée du revenu d'invalide eu égard à la capacité de travail résiduelle de 50%. Celui-ci s'en trouve alors réduit à CHF 22'239.648 (27'799.56 - 5'559.912 ; 27'799.56 × 20 /100 = 5'559.912). Comparé au revenu sans invalidité de CHF 53'771.-, il en résulte un taux d'invalidité de 58.64% ([53'771 - 22'239.648] / 53'771 × 100) dans la sphère professionnelle. Force est de conclure que le taux d'invalidité dans la sphère professionnelle de 36.94% (63% × 58.64%), additionné à celui de 3.8% (37% × 10.3%) dans la sphère ménagère, aboutit à un degré d'invalidité global de 40.74%, arrondi à 41%, comme retenu par l'intimé. 5.5 La recourante a ainsi droit à une rente de 67% d'une rente entière dès le 1er juillet 2023 (art. 29 al. 1 et 3 LAI) portée à 27.5% d'une rente entière (art. 28b al. 4 LAI ; art. 17 al. 1 let. a LPGA) à partir du 1er février 2024, soit trois mois après l'amélioration de la capacité de gain depuis le 26 octobre 2023 (art. 88a al. 1 RAI), comme retenu par l'intimé. 6. Au vu de ce qui précède, le recours sera rejeté et la recourante condamnée au paiement d'un émolument de CHF 200.- (art. 69 al. 1bis LAI). La recourante, qui succombe, n'a pas droit à des dépens (art. 61 let. g LPGA a contrario).</w:t>
      </w:r>
    </w:p>
    <w:p>
      <w:r>
        <w:t>A/938/2025 - 23/23 - PAR CES MOTIFS, LA CHAMBRE DES ASSURANCES SOCIALES : Statuant À la forme :</w:t>
      </w:r>
    </w:p>
    <w:p>
      <w:r>
        <w:rPr>
          <w:b/>
        </w:rPr>
        <w:t>E. 9</w:t>
      </w:r>
    </w:p>
    <w:p>
      <w:r>
        <w:t>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