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ATAS/817/2018 vom 17. September 2018</w:t>
      </w:r>
    </w:p>
    <w:p>
      <w:r>
        <w:t>GE Cour de justice, 2018-09-17, FR</w:t>
      </w:r>
    </w:p>
    <w:p>
      <w:r>
        <w:rPr>
          <w:b/>
        </w:rPr>
        <w:t xml:space="preserve">Quelle: </w:t>
      </w:r>
      <w:r>
        <w:t>https://mcp.opencaselaw.ch/entscheid/ge_gerichte_ATAS_817_2018</w:t>
      </w:r>
    </w:p>
    <w:p>
      <w:r>
        <w:t>FR: GE_GERICHTE ATAS/817/2018 du 17 septembre 2018</w:t>
      </w:r>
    </w:p>
    <w:p>
      <w:r>
        <w:t>IT: GE_GERICHTE ATAS/817/2018 del 17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A/2241/2016 - 22/32 -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rPr>
          <w:b/>
        </w:rPr>
        <w:t>E. 4</w:t>
      </w:r>
    </w:p>
    <w:p>
      <w:r>
        <w:t>Le litige porte sur le droit de la recourante à une rente d’invalidité, plus particulièrement sur la question de sa capacité de travail depuis 2011.</w:t>
      </w:r>
    </w:p>
    <w:p>
      <w:r>
        <w:rPr>
          <w:b/>
        </w:rPr>
        <w:t>E. 5</w:t>
      </w:r>
    </w:p>
    <w:p>
      <w:r>
        <w:t>En vertu de l’art. 28 al. 1 LAI, l’assuré a droit à une rente entière s’il est invalide à 70% au moins, à un trois-quarts de rente s'il est invalide à 60% au moins, à une demi-rente s’il est invalide à 50% au moins, ou à un quart de rente s’il est invalide à 40% au moins.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t>A/2241/2016 - 23/32 -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7</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w:t>
      </w:r>
    </w:p>
    <w:p>
      <w:r>
        <w:t>A/2241/2016 - 24/32 -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w:t>
      </w:r>
    </w:p>
    <w:p>
      <w:r>
        <w:t>A/2241/2016 - 25/32 -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w:t>
      </w:r>
    </w:p>
    <w:p>
      <w:r>
        <w:t>A/2241/2016 - 26/32 -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8</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w:t>
      </w:r>
    </w:p>
    <w:p>
      <w:r>
        <w:t>A/2241/2016 - 27/32 -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w:t>
      </w:r>
    </w:p>
    <w:p>
      <w:r>
        <w:t>A/2241/2016 - 28/32 -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w:t>
      </w:r>
    </w:p>
    <w:p>
      <w:r>
        <w:rPr>
          <w:b/>
        </w:rPr>
        <w:t>E. 9</w:t>
      </w:r>
    </w:p>
    <w:p>
      <w:r>
        <w:t>En l’occurrence, l’expertise judiciaire répond aux critères jurisprudentiels précités pour qu’il lui soit reconnu une pleine valeur probante, ce qui est admis par les parties. Celles-ci se sont ralliées à la conclusion de l’expertise selon laquelle la recourante est totalement incapable de travailler pour des motifs psychiatriques et rhumatologiques. Reste litigieuse, la date de la survenance de l’incapacité de travail totale de la recourante ; celle-ci estime qu’elle doit être fixée à l’année 2012 alors que l’intimé l’estime probable au 13 mars 2018 seulement. A cet égard, la chambre de céans constate que les experts ont d’abord expliqué qu’il était difficile de dater précisément la survenance de l’incapacité de travail durable (expertise P______ p. 28 et Q______ p. 28). Puis, sollicité sur cette question par la chambre de céans, les experts ont réétudié les éléments pertinents du dossier et, après une analyse attentive, notamment de l’expertise du CEMed du 18 juin 2015, ils sont arrivés à la conclusion le 25 mai 2018 que l’incapacité de travail de la recourante était présente, au degré de la vraisemblance prépondérante, dès le mois de juin 2015. Ce complément d’expertise, détaillé, motivé et convaincant, a pleine valeur probante. Il est fondé sur le constat que les experts du CEMed avaient en réalité déjà décrits un tableau clinique explicite relatant une incapacité fonctionnelle sévère aussi bien somatique que psychique. S’agissant en particulier de l’aspect psychiatrique, les experts ont relevé que le Dr I______ décrivait une aboulie, aucun plaisir de l’existence, une irritabilité, une asthénie, des problèmes de mémoire, une attitude pessimiste face à l’avenir, un sommeil fortement perturbé, une diminution de l’appétit, un alitement la journée ; cette description était incohérente avec l’évaluation du Dr I______, diagnostiquant une dysthymie qui n’affectait pas les capacités de la recourante à faire face aux exigences de la vie quotidienne et qui n’était source que d’un handicap peu marqué. Les critiques émises par le SMR et l’intimé ne sont pas à même de mettre en doute la survenance de l’incapacité de travail totale psychiatrique de la recourante en juin 2015.</w:t>
      </w:r>
    </w:p>
    <w:p>
      <w:r>
        <w:t>A/2241/2016 - 29/32 - Le SMR se prévaut d’une comparaison détaillée des examens cliniques psychiatriques effectués, d’une part, par l’expert du CEMed en 2015 et, d’autre part, par l’expert judiciaire en 2018. Du point de vue psychiatrique, les éléments mis en avant par le SMR pour démontrer une nette aggravation de l’état de santé en 2018 ne sont pas déterminants. En particulier, le SMR indique qu’en 2015 il n’y a pas de fatigabilité, d’idées noires, d’anxiété et de ralentissement psychomoteur ; or le Dr I______ a relevé en 2015 que, selon les plaintes de la recourante, la moindre tâche l’épuisait très rapidement, qu’elle devait se reposer, qu’elle avait une sensation chronique de fatigue, de manque d’énergie, qu’elle ne faisait rien, étant la plupart du temps alitée et présentait une asthénie dès le matin ; par ailleurs la recourante a indiqué qu’elle était moins anxieuse, ce qui démontre plutôt qu’elle présentait déjà en 2015 de l’anxiété ; de même s’agissant d’idées noires, elle a seulement spécifié en 2015 que son moral allait un peu mieux, n’ayant plus d’idées suicidaires, ce qui ne veut pas encore dire qu’elle n’avait pas d’idées noires, étant relevé que le Dr I______ se contredit lorsqu’il indique une absence de rumination négative (expertise CEMed p. 20), alors que celles-ci sont mentionnées dans l’anamnèse psychiatrique (expertise CEMed p. 11), ou encore lorsqu’il estime que la symptomatologie n’empêche pas la recourante de fonctionner au quotidien (expertise CEMed p. 20), alors que la description du quotidien révèle que la recourante ne fait quasiment rien, étant très souvent alitée (expertise CEMed p. 11) ; par ailleurs, même si le Dr I______ a exclu un ralentissement psychomoteur, il a mentionné que la marche était devenue difficile, que la recournante était maladroite, avec des difficultés dans la préhension avec les mains et qu’elle n’arrivait pas à suivre les émissions de télévision, ce qui constitue plutôt des éléments en faveur de signes d’un ralentissement psychomoteur. S’agissant des tâches ménagères, le SMR indique qu’en 2015, la recourante prépare un peu le repas alors qu’en 2018, elle ne participe à aucune tâche ménagère ; or, le Dr I______, dans la description des activités quotidiennes, a relevé que la recourante, si elle en avait la force préparait un petit déjeuner pour elle et son mari mais que, souvent, en raison de ses douleurs, elle devait rapidement se recoucher et qu’elle n’arrivait plus à faire le ménage ; cette description ne correspond pas à celle d’une personne préparant un peu les repas et participant à des tâches ménagères. Pour le reste, les éléments retenus par le SMR ne sont pas pertinents dès lors qu’ils se réfèrent à l’appréciation psychiatrique du Dr I______ (absence d’une atteinte psychiatrique invalidante, incohérences au status clinique, démonstrativité et absence de détresse), que les experts ont justement remis en cause en estimant qu’il existait une incohérence entre celle-ci et les constatations cliniques du Dr I______. Au demeurant, la présence d’une atteinte psychiatrique de la recourante totalement incapacitante depuis juin 2015 doit être retenue, selon l’expertise judiciaire et son complément.</w:t>
      </w:r>
    </w:p>
    <w:p>
      <w:r>
        <w:t>A/2241/2016 - 30/32 - Par ailleurs, la question du taux d’incapacité de travail dû à l’atteinte somatique, ainsi que la date de sa survenance, peut rester ouverte, la recourante étant déjà totalement incapable de travailler pour des motifs psychiatrique depuis juin 2015. La recourante estime que, pour la période précédente, les avis de son médecin traitant doivent être pris en compte, de sorte que son incapacité de travail totale doit être admise depuis l’année 2012. Cette conclusion ne saurait être suivie, les experts judiciaires ayant en particulier relevé que les rapports du médecin-généraliste traitant signalant une incapacité de travail depuis 2011 présentaient peu d’éléments objectifs pour soutenir cette incapacité et que l’appréciation du Dr C______ de septembre 2011 se bornait à mentionner un trouble anxio-dépressif récidivant, sans préciser son degré de sévérité et ses répercussions fonctionnelles. Ces éléments parcellaires et incomplets ne permettaient pas d’affirmer une incapacité de travail dès 2012 dans toute activité (complément d’expertise judiciaire). L’incapacité de travail totale de la recourante n’est, dans ces conditions, pas établie, au degré de la vraisemblance prépondérante, avant juin 2015. Il convient ainsi de retenir que la recourante était totalement incapable de travailler depuis le 1er juin 2015.</w:t>
      </w:r>
    </w:p>
    <w:p>
      <w:r>
        <w:rPr>
          <w:b/>
        </w:rPr>
        <w:t>E. 10</w:t>
      </w:r>
    </w:p>
    <w:p>
      <w:r>
        <w:t>Au vu de ce qui précède, au jour de la décision litigieuse, le 1er juin 2016, la recourante présentait une incapacité de travail totale et durable depuis une année, soit depuis le 1er juin 2015, de sorte que son degré d’invalidité était de 100 %. Partant, le recours doit être partiellement admis, la décision litigieuse annulée et il sera dit que la recourante a droit à une rente entière d’invalidité depuis le 1er juin 2016.</w:t>
      </w:r>
    </w:p>
    <w:p>
      <w:r>
        <w:rPr>
          <w:b/>
        </w:rPr>
        <w:t>E. 11</w:t>
      </w:r>
    </w:p>
    <w:p>
      <w:r>
        <w:t>a.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w:t>
      </w:r>
    </w:p>
    <w:p>
      <w:r>
        <w:t>A/2241/2016 - 31/32 -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b. En l’occurrence, vu l’absence de valeur probante de l’expertise du CEMed, il convient de mettre les frais de l’expertise judiciaire, soit CHF 9'428.40, à charge de l’intimé.</w:t>
      </w:r>
    </w:p>
    <w:p>
      <w:r>
        <w:rPr>
          <w:b/>
        </w:rPr>
        <w:t>E. 12</w:t>
      </w:r>
    </w:p>
    <w:p>
      <w:r>
        <w:t>Vu l’issue du litige, une indemnité de CHF 4’000.-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A/2241/2016 - 32/32 -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