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ATAS/816/2024 vom 23. Oktober 2024</w:t>
      </w:r>
    </w:p>
    <w:p>
      <w:r>
        <w:t>GE Cour de justice, 2024-10-23, FR</w:t>
      </w:r>
    </w:p>
    <w:p>
      <w:r>
        <w:rPr>
          <w:b/>
        </w:rPr>
        <w:t xml:space="preserve">Quelle: </w:t>
      </w:r>
      <w:r>
        <w:t>https://mcp.opencaselaw.ch/entscheid/ge_gerichte_ATAS_816_2024</w:t>
      </w:r>
    </w:p>
    <w:p>
      <w:r>
        <w:t>FR: GE_GERICHTE ATAS/816/2024 du 23 octobre 2024</w:t>
      </w:r>
    </w:p>
    <w:p>
      <w:r>
        <w:t>IT: GE_GERICHTE ATAS/816/2024 del 23 ottobre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À teneur de l'art. 1 al. 1 LAI, les dispositions de la LPGA s'appliquent à l'assurance-invalidité, à moins que la loi n'y déroge expressément. Le délai de recours est de trente jours (art. 60 al. 1 LPGA ; art. 62 al. 1 let. a de la loi sur la procédure administrative du 12 septembre 1985 [LPA - E 5 10]). Interjeté par ailleurs dans le délai prévu par la loi, le recours sera déclaré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A/2363/2023 - 10/18 -</w:t>
      </w:r>
    </w:p>
    <w:p>
      <w:r>
        <w:rPr>
          <w:b/>
        </w:rPr>
        <w:t>E. 2.2</w:t>
      </w:r>
    </w:p>
    <w:p>
      <w:r>
        <w:t>En l’occurrence, un éventuel droit à une rente d’invalidité naîtrait au plus tôt en juin 2021, soit six mois après le dépôt de la demande du 10 décembre 2020 (cf. art. 29 al. 1 LAI), de sorte que les dispositions légales applicables seront citées dans leur ancienne teneur.</w:t>
      </w:r>
    </w:p>
    <w:p>
      <w:r>
        <w:rPr>
          <w:b/>
        </w:rPr>
        <w:t>E. 3</w:t>
      </w:r>
    </w:p>
    <w:p>
      <w:r>
        <w:t>Le litige porte sur le droit de la recourante à une rente d'invalidité.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w:t>
      </w:r>
    </w:p>
    <w:p>
      <w:r>
        <w:rPr>
          <w:b/>
        </w:rPr>
        <w:t>E. 3.2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w:t>
      </w:r>
    </w:p>
    <w:p>
      <w:r>
        <w:t>A/2363/2023 - 11/18 -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125 V 146 consid. 2c et les références).</w:t>
      </w:r>
    </w:p>
    <w:p>
      <w:r>
        <w:rPr>
          <w:b/>
        </w:rPr>
        <w:t>E. 3.3</w:t>
      </w:r>
    </w:p>
    <w:p>
      <w:r>
        <w:t>Selon l'art. 28a al. 1 1re phrase LAI, l’évaluation du taux d’invalidité des assurés exerçant une activité lucrative est régie par l’art. 16 LPGA, aux termes duquel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3.4</w:t>
      </w:r>
    </w:p>
    <w:p>
      <w:r>
        <w:t>Selon l'art. 28a al. 2 LAI,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(art. 8 al. 3 LPGA, auquel renvoie l'art. 5 al. 1 LAI ; ATAS/846/2023 du 2 novembre 2023 consid. 7.4). Par travaux habituels des assurés travaillant dans le ménage, on entend leur activité usuelle dans le ménage, ainsi que les soins et l'assistance apportée aux proches (art. 27 RAI).</w:t>
      </w:r>
    </w:p>
    <w:p>
      <w:r>
        <w:rPr>
          <w:b/>
        </w:rPr>
        <w:t>E. 3.5</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ATAS/750/2019 du 26 août 2019 consid. 7).</w:t>
      </w:r>
    </w:p>
    <w:p>
      <w:r>
        <w:t>A/2363/2023 - 12/18 -</w:t>
      </w:r>
    </w:p>
    <w:p>
      <w:r>
        <w:rPr>
          <w:b/>
        </w:rPr>
        <w:t>E. 3.6</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3.7</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w:t>
      </w:r>
    </w:p>
    <w:p>
      <w:r>
        <w:t>A/2363/2023 - 13/18 - ATF 129 V 67 consid. 2.3.2 publié in VSI 2003 p. 221 ; arrêts du Tribunal fédéral 9C_625/2017 du 26 mars 2018 consid. 6.2 et I.733/06 du 16 juillet 2007).</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4.2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4.4</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A/2363/2023 - 14/18 - juge ne saurait les écarter aussi longtemps qu’aucun indice concret ne permet de douter de leur bien-fondé (ATF 135 V 465 consid. 4.4 et les références ; ATF 125 V 351 consid. 3b/bb).</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 arrêt du Tribunal fédéral I.751/03 du 19 mars 2004 consid. 3.3).</w:t>
      </w:r>
    </w:p>
    <w:p>
      <w:r>
        <w:rPr>
          <w:b/>
        </w:rPr>
        <w:t>E. 6.2</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w:t>
      </w:r>
    </w:p>
    <w:p>
      <w:r>
        <w:t>A/2363/2023 - 15/18 - rapport médical doit cependant être pris en considération, dans la mesure où il a trait à la situation antérieure à cette date (cf. ATF 99 V 98 consid. 4 et les arrêts cités ; arrêt du Tribunal fédéral 9C_537/2009 du 1er mars 2010 consid. 3.2).</w:t>
      </w:r>
    </w:p>
    <w:p>
      <w:r>
        <w:rPr>
          <w:b/>
        </w:rPr>
        <w:t>E. 8.1</w:t>
      </w:r>
    </w:p>
    <w:p>
      <w:r>
        <w:t>En l'occurrence, la recourante fait valoir que son dossier a été insuffisamment instruit sur le plan médical, ce qui serait démontré par les documents médicaux reçus par l’intimé en parallèle à la procédure de recours. L’intimé pour sa part estime avoir réalisé une instruction complète, les nouveaux éléments médicaux établissant certes une aggravation, mais postérieure à la décision litigieuse.</w:t>
      </w:r>
    </w:p>
    <w:p>
      <w:r>
        <w:rPr>
          <w:b/>
        </w:rPr>
        <w:t>E. 8.2</w:t>
      </w:r>
    </w:p>
    <w:p>
      <w:r>
        <w:t>En l’espèce, il est admis que les nouveaux rapports médicaux démontrent une aggravation de l’état de santé, soit notamment l’existence d’hernies discales et de troubles neuropsychologiques. Cependant, dans sa dernière écriture, l’intimé allègue sur la base des conclusions du SMR que l’aggravation serait postérieure à la décision litigieuse qui remonterait au 9 novembre 2020, de sorte qu’elle ne concernerait pas la présente procédure. Il sied dès lors d’examiner si l’aggravation établie par des documents postérieurs à la décision litigieuse doit être prise en compte pour trancher le litige. En premier lieu, il y a lieu de relever que, contrairement aux allégations de l’intimé, la décision litigieuse date du 14 juin 2023 et non du 9 novembre 2020. S’agissant des hernies discales, le SMR indique que le rapport du 9 janvier 2024 fait état de cervicobrachialgies depuis plusieurs semaines, ce qui voudrait dire selon lui depuis moins d’un mois, l’aggravation ayant été confirmée par la suite par l’IRM du 15 décembre 2023, soit postérieure à la décision litigieuse. En ce qui concerne les troubles cognitifs, dont le SMR met en doute la validité de l’examen d’avril 2024, il relève que l’expert psychiatre n’avait admis qu’un ralentissement psychomoteur et des troubles de la concentration qui avaient été pris en compte pour fixer la capacité de travail de la recourante. Le SMR retient par ailleurs qu’en janvier 2024, les HUG considéraient que les troubles cognitifs étaient subjectifs, ce qui serait insuffisant pour engendrer des limitations. L’appréciation réalisée par le SMR et reprise par l’intimé ne résiste pas à l’examen. En effet, s’agissant des atteintes cervicales, le SMR omet que le Dr G______ mentionnait d’ores et déjà une « cervico-disco arthrose avec pincement C5-C6 » dans son rapport de février 2021. Il sied de préciser que, lors de l’enquête à domicile réalisée début mai 2023, la recourante a fait état de récents malaises avec vertiges et chutes sans que l’office interpelle les médecins de la recourante.</w:t>
      </w:r>
    </w:p>
    <w:p>
      <w:r>
        <w:t>A/2363/2023 - 16/18 - Comme le relève la recourante à juste titre, l’office n’a pas recueilli de renseignements médicaux depuis fin 2021 alors que l’expertise psychiatrique a été réalisée en décembre 2022 et que la décision a été finalement rendue en juin 2023. Par ailleurs, le fait que le rapport du 9 janvier 2024 indique « des cervicobrachialgies depuis plusieurs semaines » ne signifie pas que les atteintes remontent uniquement à moins d’un mois. La fixation de la date de l’aggravation en raison de la présence d’hernies cervicales à la seule date de l’IRM ne peut pas être retenue, les hernies cervicales n’étant vraisemblablement pas apparues soudainement le jour de l’examen. En ce qui concerne les troubles cognitifs, l’argumentation du SMR est confuse et contradictoire. En effet, le rapport des HUG du 25 janvier 2024 conclut certes à des troubles cognitifs subjectifs, mais a préconisé un bilan neuropsychologique pour avoir une évaluation approfondie. Le bilan d’avril 2024 a établi l’existence d’atteintes cognitives, étant souligné que la recourante a annoncé une aggravation depuis environ une année, soit antérieure à la décision litigieuse. À ce stade, il sied de relever que, dans ses rapports de mars et décembre 2021, le Dr I______ faisait déjà état de troubles de la concentration et de fonctions cognitives limitées. S’agissant des propos du SMR quant aux constats lors de l’expertise psychiatrique, ils ne permettent pas de nier l’existence de troubles cognitifs avant la décision litigieuse. En effet, comme relevé, l’expertise a été réalisée en décembre 2022, soit plusieurs mois avant la notification de la décision litigieuse. Par ailleurs, le SMR admet que l’expert avait d’ores et déjà reconnu un ralentissement psychomoteur modéré et des troubles de la concentration modérés, dont il a pris compte pour fixer la capacité de travail, dès lors contrairement aux allégations du SMR, des troubles cognitifs étaient présents et impactaient la capacité de travail de la recourante déjà en décembre 2022. Au vu de ce qui précède, la Cour de céans considère que les pièces médicales établissant une aggravation de l’état de santé, aggravation admise par l’office, doivent être prises en compte dans la présente procédure car elles font état d’éléments vraisemblablement présents antérieurement à la décision. Il en résulte qu’un complément d’instruction médical doit être réalisé sous la forme d’une expertise pluridisciplinaire comprenant à tout le moins les volets psychiatrique, neurospsychologique et orthopédique.</w:t>
      </w:r>
    </w:p>
    <w:p>
      <w:r>
        <w:t>A/2363/2023 - 17/18 - Vu les carences dans l’instruction réalisée par l’office et de la nécessité d’actualiser le dossier médical de la recourante, un renvoi à l’intimé se justifie pour mise en œuvre d’une expertise.</w:t>
      </w:r>
    </w:p>
    <w:p>
      <w:r>
        <w:rPr>
          <w:b/>
        </w:rPr>
        <w:t>E. 9</w:t>
      </w:r>
    </w:p>
    <w:p>
      <w:r>
        <w:t>Au vu de ce qui précède, il convient d'admettre partiellement le recours, d'annuler la décision du 14 juin 2023 et de renvoyer la cause à l'intimé pour que la situation médicale de la recourante soit instruite dûment tant sur le plan somatique que psychique en sollicitant les médecins de la recourante avant la mise en place d’une expertise pluridisciplinaire et qu'ensuite une nouvelle enquête économique sur le ménage soit réalisée. La recourante obtenant partiellement gain de cause, elle a droit à des dépens, qui seront fixés à CHF 2'000.- (art. 61 let. g LPGA). La procédure en matière d’octroi de prestations d’assurance-invalidité n’étant pas gratuite (art. 69 al. 1bis LAI), l’intimé supporte l’émolument de CHF 200.-.</w:t>
      </w:r>
    </w:p>
    <w:p>
      <w:r>
        <w:t>A/2363/2023 - 18/18 -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