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ATAS/816/2020 vom 29. September 2020</w:t>
      </w:r>
    </w:p>
    <w:p>
      <w:r>
        <w:t>GE Cour de justice, 2020-09-29, FR</w:t>
      </w:r>
    </w:p>
    <w:p>
      <w:r>
        <w:rPr>
          <w:b/>
        </w:rPr>
        <w:t xml:space="preserve">Quelle: </w:t>
      </w:r>
      <w:r>
        <w:t>https://mcp.opencaselaw.ch/entscheid/ge_gerichte_ATAS_816_2020</w:t>
      </w:r>
    </w:p>
    <w:p>
      <w:r>
        <w:t>FR: GE_GERICHTE ATAS/816/2020 du 29 septembre 2020</w:t>
      </w:r>
    </w:p>
    <w:p>
      <w:r>
        <w:t>IT: GE_GERICHTE ATAS/816/2020 del 29 settembre 2020</w:t>
      </w:r>
    </w:p>
    <w:p>
      <w:pPr>
        <w:pStyle w:val="Heading2"/>
      </w:pPr>
      <w:r>
        <w:t>Erwägungen</w:t>
      </w:r>
    </w:p>
    <w:p>
      <w:r>
        <w:rPr>
          <w:b/>
        </w:rPr>
        <w:t>E. 1</w:t>
      </w:r>
    </w:p>
    <w:p>
      <w:r>
        <w:t>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w:t>
      </w:r>
    </w:p>
    <w:p>
      <w:r>
        <w:rPr>
          <w:b/>
        </w:rPr>
        <w:t>E. 2</w:t>
      </w:r>
    </w:p>
    <w:p>
      <w:r>
        <w:t>À Genève,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–RS 220] ; art. 52, 56a al. 1 et art. 73 LPP ; art. 142 du Code civil [CC – RS 210]). En l’espèce, la demanderesse est un ayant droit au sens de l’art. 73 al. 1 LPP et l’objet du litige relève du droit de la prévoyance professionnelle, puisqu’il porte sur le montant et les intérêts de son avoir de sortie de la prévoyance professionnelle.</w:t>
      </w:r>
    </w:p>
    <w:p>
      <w:r>
        <w:rPr>
          <w:b/>
        </w:rPr>
        <w:t>E. 3</w:t>
      </w:r>
    </w:p>
    <w:p>
      <w:r>
        <w:t>L’ouverture de l’action prévue à l’art. 73 al. 1 LPP n’est soumise, comme telle, à l’observation d’aucun délai (ATAS/390/2016).</w:t>
      </w:r>
    </w:p>
    <w:p>
      <w:r>
        <w:rPr>
          <w:b/>
        </w:rPr>
        <w:t>E. 4</w:t>
      </w:r>
    </w:p>
    <w:p>
      <w:r>
        <w:t>La demande du 25 novembre 2019 contenait des conclusions tendant à ce que la défenderesse informe la demanderesse du montant de sa prestation de libre passage et au transfert de cette prestation sur le compte de libre passage ouvert par cette dernière à cet effet. Dans la mesure où le 19 décembre 2019, elle a opéré le transfert de la prestation de libre passage et communiqué les informations à son sujet à la demanderesse, la défenderesse a indiqué dans son mémoire de réponse qu’elle considérait que la demande en paiement était devenue sans objet, concluant néanmoins au rejet de celle-ci. La demanderesse, invitée à se déterminer sur la question de la purge de l’objet du litige, a estimé que le montant qu’elle avait reçu (CHF 110'406.39) ne correspondait pas à sa prestation de sortie qu’elle estimait à CHF 125'980.-.</w:t>
      </w:r>
    </w:p>
    <w:p>
      <w:r>
        <w:t>A/4491/2019 - 8/15 -</w:t>
      </w:r>
    </w:p>
    <w:p>
      <w:r>
        <w:rPr>
          <w:b/>
        </w:rPr>
        <w:t>E. 5</w:t>
      </w:r>
    </w:p>
    <w:p>
      <w:r>
        <w:t>Au regard de ces circonstances, il y a lieu de déterminer le sens des conclusions par voie d'interprétation, plus précisément selon le principe de la bonne foi, c'est-à-dire selon le sens que l'autorité défenderesse pouvait et devait leur donner (cf. arrêt du Tribunal fédéral des assurances B 122/05 du 25 avril 2006 consid. 1 et le renvoi au consid. 3.2 non publié de l'ATF 130 V 61).</w:t>
      </w:r>
    </w:p>
    <w:p>
      <w:r>
        <w:rPr>
          <w:b/>
        </w:rPr>
        <w:t>E. 6</w:t>
      </w:r>
    </w:p>
    <w:p>
      <w:r>
        <w:t>La demanderesse a initialement saisi la chambre de céans pour obliger la caisse à lui verser sa prestation de libre passage, dont elle ignorait le montant exact. Le paiement subséquent d’une prestation que la demanderesse estime inférieure à celle à laquelle elle considère avoir droit, a certes modifié l’objet du litige, mais ne saurait priver la demanderesse d’agir en paiement contre sa caisse.</w:t>
      </w:r>
    </w:p>
    <w:p>
      <w:r>
        <w:rPr>
          <w:b/>
        </w:rPr>
        <w:t>E. 7</w:t>
      </w:r>
    </w:p>
    <w:p>
      <w:r>
        <w:t>En conséquence et par économie de procédure, les conclusions de la demanderesse, qui n’est pas assistée d’un conseil et qui soutient avoir droit au transfert d’un montant de prestation de libre passage plus élevé que celui reconnu et d’ores et déjà versé par sa caisse seront comprises comme des conclusions en paiement, étant rappelé que les exigences de formes prévues à l'art. 89B de la loi sur la procédure administrative du 12 septembre 1985 (LPA – E 5 10) sont peu élevées.</w:t>
      </w:r>
    </w:p>
    <w:p>
      <w:r>
        <w:rPr>
          <w:b/>
        </w:rPr>
        <w:t>E. 8</w:t>
      </w:r>
    </w:p>
    <w:p>
      <w:r>
        <w:t>La demande est ainsi recevable.</w:t>
      </w:r>
    </w:p>
    <w:p>
      <w:r>
        <w:rPr>
          <w:b/>
        </w:rPr>
        <w:t>E. 9</w:t>
      </w:r>
    </w:p>
    <w:p>
      <w:r>
        <w:t>S’agissant de la prestation de libre passage dans le cadre de la prévoyance professionnelle, l’art. 27 LPP renvoie à la loi fédérale sur le libre passage dans la prévoyance professionnelle vieillesse, survivants et invalidité du 17 décembre 1993 (loi sur le libre passage, LFLP - RS 831.42).</w:t>
      </w:r>
    </w:p>
    <w:p>
      <w:r>
        <w:rPr>
          <w:b/>
        </w:rPr>
        <w:t>E. 10</w:t>
      </w:r>
    </w:p>
    <w:p>
      <w:r>
        <w:t>La LFLP réglemente les prétentions des assurés en cas de libre passage dans le cadre de la prévoyance professionnelle vieillesse, survivants et invalidité (art. 1 al. 1 LFLP). Elle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(art. 1 al. 2 LFLP). Elle s’applique par analogie aux régimes de retraite où l’assuré a droit à des prestations lors de la survenance d’un cas de prévoyance (art. 1 al. 3 LFLP). À teneur de l’art. 2 LFLP, si l’assuré quitte l’institution de prévoyance avant la survenance d’un cas de prévoyance (cas de libre passage), il a droit à une prestation de sortie (al. 1). (…) De même, l’assuré dont la rente de l’assurance-invalidité est réduite ou supprimée en raison de l’abaissement de son taux d’invalidité a droit à une prestation de sortie au terme du maintien provisoire de l’assurance et du droit aux prestations prévu à l’art. 26a al. 1 et 2 LPP (al. 1ter). L’institution de prévoyance fixe le montant de la prestation de sortie dans son règlement ; cette prestation de sortie doit être au moins égale à la prestation de sortie calculée selon les dispositions de la section 4 (art. 2 al. 2 LFLP).</w:t>
      </w:r>
    </w:p>
    <w:p>
      <w:r>
        <w:t>A/4491/2019 - 9/15 - La prestation de sortie est exigible lorsque l’assuré quitte l’institution de prévoyance. Elle est créditée à partir de ce moment des intérêts prévus à l’art. 15 al. 2 LPP (art. 2 al. 3 LFLP). Si l’institution de prévoyance ne transfère pas la prestation échue dans les trente jours après avoir reçu toutes les informations nécessaires, elle est tenue de verser l’intérêt moratoire prévu à l’art. 26 al. 2 à partir de ce moment-là (art. 2 al. 4 LFLP).</w:t>
      </w:r>
    </w:p>
    <w:p>
      <w:r>
        <w:rPr>
          <w:b/>
        </w:rPr>
        <w:t>E. 11</w:t>
      </w:r>
    </w:p>
    <w:p>
      <w:r>
        <w:t>L’art. 3 al. 1 LFLP dispose que si l'assuré entre dans une nouvelle institution de prévoyance, l'ancienne institution de prévoyance doit verser la prestation de sortie à cette nouvelle institution.</w:t>
      </w:r>
    </w:p>
    <w:p>
      <w:r>
        <w:rPr>
          <w:b/>
        </w:rPr>
        <w:t>E. 12</w:t>
      </w:r>
    </w:p>
    <w:p>
      <w:r>
        <w:t>Selon l’art. 32 des Statuts de CEH alors en vigueur lors de la sortie de la demanderesse au 31 octobre 2011, soit l’édition 2010 et l’annexe, édition 2007, l’assuré qui quittait la caisse avant la survenance d’un cas de prévoyance, (invalidité, décès ou retraite) avait droit à une prestation de sortie.</w:t>
      </w:r>
    </w:p>
    <w:p>
      <w:r>
        <w:rPr>
          <w:b/>
        </w:rPr>
        <w:t>E. 13</w:t>
      </w:r>
    </w:p>
    <w:p>
      <w:r>
        <w:t>La caisse applique la primauté des prestations (art. 32 Statuts CEH).</w:t>
      </w:r>
    </w:p>
    <w:p>
      <w:r>
        <w:rPr>
          <w:b/>
        </w:rPr>
        <w:t>E. 14</w:t>
      </w:r>
    </w:p>
    <w:p>
      <w:r>
        <w:t>La prestation de sortie brute est calculée selon les modalités définies dans l'annexe aux statuts (art. 34 al. 1 Statuts CEH). La prestation de sortie nette correspond à la prestation de sortie brute, déduction faite des soldes de cotisations, de rachats et de rappels. La caisse s'acquitte de la prestation de sortie nette (art. 34 al. 2 Statuts CEH). La caisse garantit au minimum le versement de la prestation de sortie légale (art. 34 al. 3 Statuts CEH).</w:t>
      </w:r>
    </w:p>
    <w:p>
      <w:r>
        <w:rPr>
          <w:b/>
        </w:rPr>
        <w:t>E. 15</w:t>
      </w:r>
    </w:p>
    <w:p>
      <w:r>
        <w:t>La prestation de sortie brute (PLP(x,n)) est calculée selon la formule figurant à l’art. 6 al. 1 de l’annexe aux statuts : PLP(x,n) = t(x) * n * TMA * TA / TAC x : l’âge au moment de la sortie n : nombre d’années d’assurance comptées depuis la date d’origine des droits jusqu’à la date de sortie, limité toutefois à la durée de cotisation maximale t(x) : taux annuel de prestation à l’âge de x selon le tableau ci-dessous TMA : taux moyen d’activité au moment de la sortie TA : traitement assuré au moment de la sortie TAC : taux d’activité effectif au moment de la sortie Le taux annuel de prestation de sortie [t(x)] est fonction de l’âge de l’assuré au moment du calcul. Il est reproduit dans le tableau ci-après (art. 6 al. 2 des statuts) :</w:t>
      </w:r>
    </w:p>
    <w:p>
      <w:r>
        <w:t>A/4491/2019 - 10/15 - Âge Taux (…) (…) 54 20.63 % 55 21.62 % (…) (…)</w:t>
      </w:r>
    </w:p>
    <w:p>
      <w:r>
        <w:rPr>
          <w:b/>
        </w:rPr>
        <w:t>E. 16</w:t>
      </w:r>
    </w:p>
    <w:p>
      <w:r>
        <w:t>Les éléments de la formule ressortent des statuts. L’art. 6 Statuts CEH détermine le traitement déterminant des assurés comme le traitement légal annuel défini dans l'échelle des traitements des membres du personnel de l'État limité au traitement maximum de la classe 30, compte tenu du taux d'activité. Le traitement assuré correspond au traitement déterminant, moins une déduction de coordination avec l'assurance fédérale vieillesse et survivants (ci-après : AVS). Les modalités de calcul de la déduction de coordination sont définies dans l'annexe (art. 7 Statuts CEH). Le taux d'activité effectif correspond à la somme des taux d'activité de chaque activité, augmentée, le cas échéant, du taux d'activité de maintien selon l'art. 9 al. 2 Statuts CEH, et limitée à 100 %. Le traitement assuré déterminant sert de base au calcul des prestations de la caisse. Le traitement assuré déterminant se calcule en multipliant le traitement assuré à 100 % par le taux moyen d'activité (art. 8 Statuts CEH). Quant à la date d’origine des droits, elle est fixée par la caisse lors de l'affiliation de tout assuré et correspond au 1er du mois précédant ou suivant la date d’affiliation, mais au plus tôt au 1er du mois suivant celui au cours duquel l'assuré atteint l'âge de 22 ans et 6 mois révolus. Le règlement général définit les modalités (art. 11 Statuts CEH). Cette date d'origine des droits est modifiée notamment par l’apport de prestations d'entrée et l’attribution de prestations de sortie au conjoint en cas de divorce (art. 11 Statuts CEH).</w:t>
      </w:r>
    </w:p>
    <w:p>
      <w:r>
        <w:rPr>
          <w:b/>
        </w:rPr>
        <w:t>E. 17</w:t>
      </w:r>
    </w:p>
    <w:p>
      <w:r>
        <w:t>L'assurance prend fin à la dissolution des rapports de service (art. 12 Statuts CEH).</w:t>
      </w:r>
    </w:p>
    <w:p>
      <w:r>
        <w:rPr>
          <w:b/>
        </w:rPr>
        <w:t>E. 18</w:t>
      </w:r>
    </w:p>
    <w:p>
      <w:r>
        <w:t>Le taux d'intérêt compensatoire doit, s'agissant de l'avoir de prévoyance obligatoire, correspondre au taux minimal fixé à l'art. 12 OPP 2 ; si le règlement de l'institution de prévoyance prévoit un taux d'intérêt supérieur pour l'avoir de vieillesse, ce taux est alors applicable. Si le règlement ne fixe aucun taux d'intérêt, il se justifie d'appliquer à titre subsidiaire le taux d'intérêt minimal selon l'art. 12 OPP 2 (ATF 129 V 251 consid. 4 p. 257 ; cf. aussi arrêt du Tribunal fédéral 9C_227/2009 du 25 septembre 2009, in SVR 2010 BVG n° 4 p. 12).</w:t>
      </w:r>
    </w:p>
    <w:p>
      <w:r>
        <w:t>A/4491/2019 - 11/15 -</w:t>
      </w:r>
    </w:p>
    <w:p>
      <w:r>
        <w:rPr>
          <w:b/>
        </w:rPr>
        <w:t>E. 19</w:t>
      </w:r>
    </w:p>
    <w:p>
      <w:r>
        <w:t>Le Conseil fédéral fixe le taux d’intérêt minimal. Pour ce faire, il tiendra compte de l’évolution du rendement des placements usuels du marché, en particulier des obligations de la Confédération ainsi que, en complément, des actions, des obligations et de l’immobilier (art. 15 LPP).</w:t>
      </w:r>
    </w:p>
    <w:p>
      <w:r>
        <w:rPr>
          <w:b/>
        </w:rPr>
        <w:t>E. 20</w:t>
      </w:r>
    </w:p>
    <w:p>
      <w:r>
        <w:t>Le taux d’intérêt fixé dans l’art. 12 OPP 2 avec référence à l’art. 15 LPP prévoit les intérêts suivants : (…) f. pour la période à partir du 1er janvier 2009 jusqu’au 31 décembre 2011 : d’au moins 2 % ; g. pour la période à partir du 1er janvier 2012 jusqu’au 31 décembre 2013 : d’au moins 1,5 % ; h. pour la période à partir du 1er janvier 2014 jusqu’au 31 décembre 2015: d’au moins 1,75 % ; i. pour la période à partir du 1er janvier 2016 jusqu’au 31 décembre 2016 : d’au moins 1,25 % ; j. pour la période à partir du 1er janvier 2017 : d’au moins 1 %.</w:t>
      </w:r>
    </w:p>
    <w:p>
      <w:r>
        <w:rPr>
          <w:b/>
        </w:rPr>
        <w:t>E. 21</w:t>
      </w:r>
    </w:p>
    <w:p>
      <w:r>
        <w:t>En cas de divorce, les prestations de sortie et les parts de rente sont partagées conformément aux art. 122 à 124e du code civil (CC) et 280 et 281 du code de procédure civile (CPC) ; les art. 3 à 5 LFLP s’appliquent par analogie au montant à transférer (art. 22 LFLP).</w:t>
      </w:r>
    </w:p>
    <w:p>
      <w:r>
        <w:rPr>
          <w:b/>
        </w:rPr>
        <w:t>E. 22</w:t>
      </w:r>
    </w:p>
    <w:p>
      <w:r>
        <w:t>En l’espèce, la demanderesse conteste le montant de CHF 36'870.30 que la défenderesse indique avoir reçu à la suite du divorce de son assurée. Elle soutient que ce montant devait être de CHF 40'133.20 conformément au jugement de divorce prononcé par le Tribunal de première instance. Il ressort du dossier que le jugement de première instance a fait l’objet d’un appel dans le cadre duquel le partage par moitié de la prévoyance professionnelle des deux époux a été ordonné et la cause transmise à la chambre des assurances sociales pour qu’elle détermine le montant et les modalités du partage. La chambre des assurances sociales a ainsi, le 15 juin 2015, arrêté à CHF 36'870.30, hors intérêts, le montant que la caisse de prévoyance de M. B______devait verser à la caisse de la demanderesse. C’est ainsi un montant de CHF 36'870.30 que la caisse de la demanderesse devait recevoir conformément à la décision de la chambre des assurances sociales. Compte tenu des intérêts ayant courus depuis l’entrée en force du jugement de divorce (7 septembre 2011) jusqu’au transfert (14 septembre 2015), le montant reçu s’est élevé à CHF 38'264.99 (avis de crédit). Le taux d’intérêts prévu par l'art. 12 OPP 2 est en l’espèce déterminant, à défaut de taux fixé dans les statuts.</w:t>
      </w:r>
    </w:p>
    <w:p>
      <w:r>
        <w:t>A/4491/2019 - 12/15 - Ainsi au montant de 38'264.99 se sont ajoutés des intérêts de 1.75 % du 14 septembre 2015 au 31 décembre 2015, de 1.25 % en 2016, de 1 % en 2017, 2018 et jusqu’au 13 juillet 2019 puis de 2 % jusqu’au transfert, soit CHF 1'673.65, ainsi que 2 % d’intérêts moratoires dès 30 jours après la demande, soit CHF 346.15, pour un montant total CHF 40'284.80. Le calcul opéré par la défenderesse et le montant de CHF 40'284.80 ne prêtent pas le flanc à la critique. Sur ce point, la demande est infondée et sera rejetée.</w:t>
      </w:r>
    </w:p>
    <w:p>
      <w:r>
        <w:rPr>
          <w:b/>
        </w:rPr>
        <w:t>E. 23</w:t>
      </w:r>
    </w:p>
    <w:p>
      <w:r>
        <w:t>La demanderesse conteste en outre le montant de la prestation de sortie au 31 octobre 2011, soit CHF 62'560.20 et, partant, le montant obtenu après majoration d’intérêts rémunératoires au taux LPP et d’intérêts moratoires, chiffré par la défenderesse à CHF 70'121.60. La demanderesse a perçu des prestations d’invalidité provisoires de la défenderesse durant la procédure AI mais ne s’est pas vue reconnaître en fin de compte de droit à des prestations d’invalidité de l’AI ou de sa caisse de prévoyance professionnelle, ce qui n’est pas contesté. Elle avait donc droit à une prestation de sortie de sa caisse, laquelle l’avait d’ailleurs invitée en janvier 2013 à lui communiquer sur quel compte la prestation devait être transférée. Faute d’informations, la prestation a été conservée par la défenderesse jusqu’au 19 décembre 2019, date à laquelle elle a été transférée avec des intérêts. Il s’agit donc de vérifier si le montant versé par la défenderesse est juste au regard des statuts de la caisse et des dispositions précitées. En effet, la prestation de sortie est fixée par l’institution de prévoyance dans son règlement, en l’occurrence dans ses statuts. Au nombre des éléments pertinents pour calculer la prestation de sortie figurent l’âge de la demanderesse lors de sa sortie de la caisse de prévoyance, au 31 octobre 2011, le nombre d’années de cotisation, la date de l’origine des droits fixée par la défenderesse lors de l’affiliation et le traitement assuré. Les éléments pris en compte par la défenderesse dans son calcul et qui figuraient au préalable dans les certificats reçus par la demanderesse au fil du temps ne sont pas remis en cause dans la demande dont la chambre est saisie. Il sera dès lors relevé que la demanderesse, née le 14 octobre 1957, était âgée de 54 ans lors de sa sortie de la caisse de prévoyance, le 31 octobre 2011. Selon l’art. 6 al. 2 des statuts, le taux annuel de prestation est de 20.63 % pour une sortie à l’âge de 54 ans, comme l’a retenu la défenderesse. L’affiliation de la demanderesse correspond à son engagement par la FSASD au 1er mai 2004 conformément à l’art. 10 des statuts. Lors de son affiliation, un montant de CHF 19'755.70 a été transféré de l’ancienne caisse à la nouvelle. La date d’origine des droits a été fixée quant à elle au 1er mars 1997 par la</w:t>
      </w:r>
    </w:p>
    <w:p>
      <w:r>
        <w:t>A/4491/2019 - 13/15 - défenderesse lors de l’affiliation (art. 11 des statuts), de sorte qu’il est exact de retenir une durée d’assurance de 14 ans et 8 mois, soit 176 mois. Le montant du traitement assuré a été fixé conformément à la classe salariale de la demanderesse, soit une classe 6/14, à la classe maximale, en l’occurrence de 6, et au taux d’activité de 50 % pour un traitement brut de CHF 36'540.-. Comme cela ressort des certificats d’assurance communiqués à la demanderesse, le traitement déterminant a été fixé à CHF 34'460.05 et le traitement assuré à CHF 20'676.05 (art. 7 et 8 des statuts). Ainsi, en application du calcul ressortant du règlement de la défenderesse, la prestation de sortie s’élevait à CHF 62'560.20 (soit (20.63 %/12) * 176 mois * 50% * 20'676.05 / 50%), montant plus élevé que les minimas légaux prévu par l’art. 17 et 18 LFLP (CHF 43'704.20 et CHF 13'671.35). À ce montant de CHF 62'560.20 se sont ajoutés des intérêts. Le taux d’intérêts prévu par l'art. 12 OPP 2 est en l’espèce déterminant, à défaut de taux fixé dans les statuts. L’intérêt rémunératoire LPP était dès lors de 2 % en 2011, de 1.5 % en 2012 et 2013, de 1.75 % en 2014 et 2015, de 1.25 % en 2016, de 1 % en 2017, 2018 et jusqu’au 13 juillet 2019 puis de 1 % jusqu’au transfert, ce qui équivaut à un montant de CHF 6'958.90. En outre, trente jours après la demande de transfert du 13 juillet 2019, des intérêts moratoires étaient dus en sus, d’un taux de 2 % (1 % de plus que les intérêts rémunératoires), soit CHF 602.50. Le calcul opéré par la défenderesse et le montant de CHF 70'121.60 sont ainsi conformes aux statuts de la caisse.</w:t>
      </w:r>
    </w:p>
    <w:p>
      <w:r>
        <w:rPr>
          <w:b/>
        </w:rPr>
        <w:t>E. 24</w:t>
      </w:r>
    </w:p>
    <w:p>
      <w:r>
        <w:t>Malgré les calculs exposés par la défenderesse, la demanderesse considère que le montant de la prestation de libre passage qui lui est due est supérieure à ce montant, dans la mesure où un montant de CHF 71'366.85 lui avait été communiqué par courrier du 9 janvier 2013, auquel elle n’avait pas donné suite. Son questionnement à ce sujet peut se comprendre comme une demande d’être protégée dans sa bonne foi ou une prétention à des droits acquis.</w:t>
      </w:r>
    </w:p>
    <w:p>
      <w:r>
        <w:rPr>
          <w:b/>
        </w:rPr>
        <w:t>E. 25</w:t>
      </w:r>
    </w:p>
    <w:p>
      <w:r>
        <w:t>Le principe de la bonne foi, ancré à l'art. 9 Cst., protège le citoyen dans la confiance placée dans les assurances reçues des autorités (lorsqu'il règle sa conduite d'après les décisions, les déclarations ou le comportement de l'administration) ; un renseignement ou une décision erronés peuvent contraindre l'administration à consentir à l'administré un avantage contraire à la réglementation en vigueur ;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w:t>
      </w:r>
    </w:p>
    <w:p>
      <w:r>
        <w:t>A/4491/2019 - 14/15 - dont il se prévaut pour prendre des dispositions auxquelles il ne peut renoncer sans subir de préjudice et que la loi n'ait pas changé depuis le moment où l'assurance a été donnée (cf. ATF 131 II 627 consid. 6.1 p. 636 sv. et les références) ; ces conditions doivent aussi être remplies lorsque l'administration omet de renseigner l'administré alors qu'elle était légalement tenue de le faire (cf. ATF 136 V 331 consid. 4.3 p. 338 ; 131 V 472 consid. 5 p. 480 sv. et les références) ; elles sont en outre cumulatives (cf. arrêt 8C_901/2011 consid. 3.3).</w:t>
      </w:r>
    </w:p>
    <w:p>
      <w:r>
        <w:rPr>
          <w:b/>
        </w:rPr>
        <w:t>E. 26</w:t>
      </w:r>
    </w:p>
    <w:p>
      <w:r>
        <w:t>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À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La garantie des droits acquis porte sur ceux qui découlent de dispositions légales impératives et dont, par voie de conséquence, le destinataire ne saurait être privé. Par ailleurs, seule la prestation dans son principe constitue un droit acquis et non l'ampleur de celle-ci que le règlement a pour tâche de fixer. Celle-ci ne peut avoir qualité de droit acquis que lorsque la modification de règlement n'est pas autorisée (arrêts du Tribunal fédéral 9C_61/2017 du 1er juin 2017 consid. 4.2 ; 9C_140/2009 du 2 novembre 2009 consid. 4.3 et les références ; arrêt du Tribunal fédéral des assurances B 60/99 du 25 avril 2000 consid. 3c, in SVR 2000 BVG n° 12 p. 57). À titre d’exemple,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(ATF 134 I 23 consid. 7.2 p. 36 et les références ; arrêt du Tribunal fédéral 9C_381/2010 du 20 décembre 2010 consid. 5).</w:t>
      </w:r>
    </w:p>
    <w:p>
      <w:r>
        <w:rPr>
          <w:b/>
        </w:rPr>
        <w:t>E. 27</w:t>
      </w:r>
    </w:p>
    <w:p>
      <w:r>
        <w:t>En l’espèce, la demanderesse ne peut tirer de droit du courrier que la défenderesse lui a adressé le 9 janvier 2013, dans la mesure où malgré l’information fournie dans ce courrier, elle ne se prévaut d’aucune disposition prise en lien avec ce courrier. L’information communiquée en 2013 ne peut être considérée comme un droit acquis, l'ampleur de cette prestation étant déterminée par le règlement de la caisse.</w:t>
      </w:r>
    </w:p>
    <w:p>
      <w:r>
        <w:rPr>
          <w:b/>
        </w:rPr>
        <w:t>E. 28</w:t>
      </w:r>
    </w:p>
    <w:p>
      <w:r>
        <w:t>La demande est dès lors entièrement infondée et sera rejetée.</w:t>
      </w:r>
    </w:p>
    <w:p>
      <w:r>
        <w:rPr>
          <w:b/>
        </w:rPr>
        <w:t>E. 29</w:t>
      </w:r>
    </w:p>
    <w:p>
      <w:r>
        <w:t>La procédure est gratuite (art. 73 al. 2 LPP). * * * * * *</w:t>
      </w:r>
    </w:p>
    <w:p>
      <w:r>
        <w:t>A/4491/2019 - 15/15 -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