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ATAS/816/2016 vom 13. Oktober 2016</w:t>
      </w:r>
    </w:p>
    <w:p>
      <w:r>
        <w:t>GE Cour de justice, 2016-10-13, FR</w:t>
      </w:r>
    </w:p>
    <w:p>
      <w:r>
        <w:rPr>
          <w:b/>
        </w:rPr>
        <w:t xml:space="preserve">Quelle: </w:t>
      </w:r>
      <w:r>
        <w:t>https://mcp.opencaselaw.ch/entscheid/ge_gerichte_ATAS_816_2016</w:t>
      </w:r>
    </w:p>
    <w:p>
      <w:r>
        <w:t>FR: GE_GERICHTE ATAS/816/2016 du 13 octobre 2016</w:t>
      </w:r>
    </w:p>
    <w:p>
      <w:r>
        <w:t>IT: GE_GERICHTE ATAS/816/2016 del 13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 vile du 19 décembre 2008 – CPC - RS 272), exécuter d'office le partage sur la base de la clé de répartition déterminée par le juge du divorce.</w:t>
      </w:r>
    </w:p>
    <w:p>
      <w:r>
        <w:rPr>
          <w:b/>
        </w:rPr>
        <w:t>E. 2</w:t>
      </w:r>
    </w:p>
    <w:p>
      <w:r>
        <w:t>En l’espèce, le juge de première instance a ordonné le partage par moitié des presta- tions de sortie acquises durant le mariage par les demandeurs. Les dates pertinentes sont, d’une part, le 22 janvier 1977, date du mariage, d’autre part le 11 février 2013, date à laquelle le divorce a été prononcé. Cependant, le demandeur étant bénéficiaire de prestations de sa caisse de pension depuis le 1er janvier 2013, soit antérieurement au divorce, la question se pose de sa- voir si le partage ordonné peut être exécuté.</w:t>
      </w:r>
    </w:p>
    <w:p>
      <w:r>
        <w:rPr>
          <w:b/>
        </w:rPr>
        <w:t>E. 3</w:t>
      </w:r>
    </w:p>
    <w:p>
      <w:r>
        <w:t>Le partage des prestations de sortie est une institution ressortissant au droit du di- vorce (GEISER, zur Frage des Massgeblichen Zeitpunkts beim Vorsorgeausgleich, FamPRa 2004, p. 305). Dès lors, le moment déterminant pour son exécution est ce- lui de l'entrée en force du jugement de divorce - ou tout au moins des points per- mettant son exécution. Si un cas de prévoyance survient avant cette date, l'applica- 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w:t>
      </w:r>
    </w:p>
    <w:p>
      <w:r>
        <w:t>A/2143/2016 4/5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 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 gleich : Aufteilung bei Vorbezug für Wohneigentumserwerb und nach Eintreten ei- nes Vorsorgefalls, FamPra 2002 p. 86 et Berufliche Vorsorge im neuen Schei- 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 dere nach art. 124 ZGB, FamPra 2002 p. 641, 647; SUTTER/ FREIBURGHAUS, Kommentar zum neuen Schdidungsrecht, n. 3 ad art. 124 CC).</w:t>
      </w:r>
    </w:p>
    <w:p>
      <w:r>
        <w:rPr>
          <w:b/>
        </w:rPr>
        <w:t>E. 4</w:t>
      </w:r>
    </w:p>
    <w:p>
      <w:r>
        <w:t>En l’espèce, force est de constater que le demandeur est à la retraite et bénéficie de la rente y relative depuis le 1er janvier 2013, c'est-à-dire antérieurement à l'entrée en force du jugement de divorce, ce qui rend impossible le partage des avoirs de pré- voyance (cf. ATAS 515/2007 du 15 mai 2007). Les parties sont, par conséquent, invitées à saisir le juge du divorce d'une demande d'indemnité équitable.</w:t>
      </w:r>
    </w:p>
    <w:p>
      <w:r>
        <w:t>A/2143/2016 5/5 Aucun émolument ne sera perçu, la procédure étant gratuite (art. 73 al. 2 LPP et 89H al. 1 de la loi sur la procédure administrative du 12 septembre 1985).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