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ATAS/816/2011 vom 5. September 2011</w:t>
      </w:r>
    </w:p>
    <w:p>
      <w:r>
        <w:t>GE Cour de justice, 2011-09-05, FR</w:t>
      </w:r>
    </w:p>
    <w:p>
      <w:r>
        <w:rPr>
          <w:b/>
        </w:rPr>
        <w:t xml:space="preserve">Quelle: </w:t>
      </w:r>
      <w:r>
        <w:t>https://mcp.opencaselaw.ch/entscheid/ge_gerichte_ATAS_816_2011</w:t>
      </w:r>
    </w:p>
    <w:p>
      <w:r>
        <w:t>FR: GE_GERICHTE ATAS/816/2011 du 5 septembre 2011</w:t>
      </w:r>
    </w:p>
    <w:p>
      <w:r>
        <w:t>IT: GE_GERICHTE ATAS/816/2011 del 5 settembre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 délai légal et en la forme prescrite, le recours est recevable (art. 56 et 60 LPGA).</w:t>
      </w:r>
    </w:p>
    <w:p>
      <w:r>
        <w:rPr>
          <w:b/>
        </w:rPr>
        <w:t>E. 3</w:t>
      </w:r>
    </w:p>
    <w:p>
      <w:r>
        <w:t>Le litige porte sur le point de savoir si c'est à juste titre que l'intimé a refusé d'entrer en matière sur la nouvelle demande déposée par la recourante.</w:t>
      </w:r>
    </w:p>
    <w:p>
      <w:r>
        <w:rPr>
          <w:b/>
        </w:rPr>
        <w:t>E. 4</w:t>
      </w:r>
    </w:p>
    <w:p>
      <w:r>
        <w:t>a) Lorsque la rente ou l'allocation pour impotent a été refusée parce que le degré d'invalidité était insuffisant ou parce qu'il n'y avait pas d'impotence, la nouvelle demande ne peut être examinée que si l'assuré rend plausible que son invalidité, son impotence ou l’étendue du besoin de soins découlant de son invalidité s'est modifiée de manière à influencer ses droits (art. 87 al. 3 et 4 du règlement sur l'assurance-invalidité du 17 janvier 1961 -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w:t>
      </w:r>
    </w:p>
    <w:p>
      <w:r>
        <w:t>A/577/2011 - 6/8 -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Ces principes, développés par la jurisprudence en relation avec la nouvelle demande de prestations (art. 87 al. 3 et 4 RAI), sont applicables par analogie à la demande de révision (ATF 130 V 73 consid. 3). c) L'exigence relative au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du 5 octobre 2001, I 724/99,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w:t>
      </w:r>
    </w:p>
    <w:p>
      <w:r>
        <w:rPr>
          <w:b/>
        </w:rPr>
        <w:t>E. 5</w:t>
      </w:r>
    </w:p>
    <w:p>
      <w:r>
        <w:t>En l'espèce, la dernière décision de refus de prestations remonte au 30 juin 2008. Elle était fondée sur les conclusions de l'examen rhumatologique effectué le 19 novembre 2007 et selon lesquelles la recourante présentait, avec répercussion sur sa capacité de travail, une périarthrite scapulo-humérale droite dans le cadre d’un status post-acromioplastie et réparation de la coiffe des rotateurs en 2001, des rachialgies diffuses non déficitaires dans le cadre d’un léger trouble statique et dégénératif cervical, une discopathie L5-S1 protrusive et d’importantes dysbalances musculaires avec insuffisance posturale, une gonarthrose bilatérale débutante dans le cadre de genua valga, une arthrose fémoropatellaire et une dégénérescence mucoïde du ménisque droit.</w:t>
      </w:r>
    </w:p>
    <w:p>
      <w:r>
        <w:t>A/577/2011 - 7/8 - Dans le cadre de sa demande de prestations du 8 septembre 2010, la recourante a produit des rapports médicaux dont il résulte qu’elle présente une atteinte au coude droit - une épicondylite révélée par une échographie en avril 2009 - et des atteintes à la hanche droite - tendinite et bursite du moyen fessier ainsi qu’une ténosynovite des abducteur révélées par une échographie en août 2009, qui a été confirmée par une IRM en avril 2010 et une échographie en septembre 2010 - (rapport du Dr Q__________ du 26 mai 2009, rapport du Dr S__________ du 27 avril 2010 et rapport du Dr U__________ du 3 septembre 2010). Or, aucune de ces atteintes n’existait à la date déterminante du 30 juin 2008. Il apparaît en outre qu’en raison de ces troubles, la recourante a bénéficié de traitements anti-inflammatoires, de physiothérapie, de séances d’acupuncture et d’infiltrations, sans amélioration notable (rapports du Dr Q__________ des 26 mai 2009 et 1er octobre 2010). Dans son recours, la recourante a expliqué en outre avoir pris de la morphine en raison des douleurs, qui auraient, selon le Dr Q__________, une répercussion sur sa capacité de travail dans une activité adaptée (rapport du 31 août 2010). Force est donc de constater qu’il existe des indices d’une modification des circonstances entre 2008 et 2010, avec l’apparition de nouveaux diagnostics touchant le coude et la hanche droites et qui, contrairement à l’avis du SMR du 3 novembre 2010, semblent perdurer malgré les traitements prodigués. L'intimé se devait dès lors de les investiguer et donc d'entrer en matière sur la demande de prestations.</w:t>
      </w:r>
    </w:p>
    <w:p>
      <w:r>
        <w:rPr>
          <w:b/>
        </w:rPr>
        <w:t>E. 6</w:t>
      </w:r>
    </w:p>
    <w:p>
      <w:r>
        <w:t>Eu égard aux considérations qui précèdent, il se justifie d'admettre le recours et de renvoyer la cause à l'intimé, à charge pour lui d'entrer en matière sur la demande de prestations de la recourante.</w:t>
      </w:r>
    </w:p>
    <w:p>
      <w:r>
        <w:rPr>
          <w:b/>
        </w:rPr>
        <w:t>E. 7</w:t>
      </w:r>
    </w:p>
    <w:p>
      <w:r>
        <w:t>L’art. 69 al. 1bis LAI, entré en vigueur le 1er juillet 2006, prévoit qu’en dérogation à l’art. 61 let. a LPGA, la procédure de recours en matière de contestations portant sur l’octroi ou le refus de prestations de l’assurance-invalidité devant le tribunal cantonal des assurances est soumise à des frais de justice. Tel ne sera pas le cas en l’espèce, le recours ayant été interjeté contre une décision de non entrée en matière, et non d’octroi ou de refus de prestations.</w:t>
      </w:r>
    </w:p>
    <w:p>
      <w:r>
        <w:t>A/577/2011 - 8/8 -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