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ATAS/815/2022 vom 21. September 2022</w:t>
      </w:r>
    </w:p>
    <w:p>
      <w:r>
        <w:t>GE Cour de justice, 2022-09-21, FR</w:t>
      </w:r>
    </w:p>
    <w:p>
      <w:r>
        <w:rPr>
          <w:b/>
        </w:rPr>
        <w:t xml:space="preserve">Quelle: </w:t>
      </w:r>
      <w:r>
        <w:t>https://mcp.opencaselaw.ch/entscheid/ge_gerichte_ATAS_815_2022</w:t>
      </w:r>
    </w:p>
    <w:p>
      <w:r>
        <w:t>FR: GE_GERICHTE ATAS/815/2022 du 21 septembre 2022</w:t>
      </w:r>
    </w:p>
    <w:p>
      <w:r>
        <w:t>IT: GE_GERICHTE ATAS/815/2022 del 21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est le droit de l'assuré aux prestations du chômage du 1er décembre 2021 au 28 février 2022, qui dépend de l’existence d’un domicile en en Suisse.</w:t>
      </w:r>
    </w:p>
    <w:p>
      <w:r>
        <w:rPr>
          <w:b/>
        </w:rPr>
        <w:t>E. 4.1</w:t>
      </w:r>
    </w:p>
    <w:p>
      <w:r>
        <w:t>L'art. 8 LACI énumère les conditions d'octroi de l'indemnité de chômage. L'assuré doit, pour bénéficier de cette prestation prévue par l'art. 7 al. 2 let. a LACI, être sans emploi ou partiellement sans emploi, avoir subi une perte de</w:t>
      </w:r>
    </w:p>
    <w:p>
      <w:r>
        <w:t>A/1810/2022 - 7/10 -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w:t>
      </w:r>
    </w:p>
    <w:p>
      <w:r>
        <w:rPr>
          <w:b/>
        </w:rPr>
        <w:t>E. 4.2</w:t>
      </w:r>
    </w:p>
    <w:p>
      <w:r>
        <w:t>Pour l’établissement des faits pertinents, il y a lieu d’appliquer les principes ordinaires régissant la procédure en matière d’assurances sociales, à savoir, en</w:t>
      </w:r>
    </w:p>
    <w:p>
      <w:r>
        <w:t>A/1810/2022 - 8/10 -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5</w:t>
      </w:r>
    </w:p>
    <w:p>
      <w:r>
        <w:t>En l’espèce, la chambre de céans considère qu’il est suffisamment démontré que le recourant résidait bien à la rue E______, chez son amie Mme D______ du 1er décembre 2021 au 28 février 2022. Cela est en effet attesté par les courriers reçus à leurs deux noms à cette adresse. Même si l’assuré n’avait pas la volonté de se créer un domicile à long terme à la rue E______, il faut admettre qu’il y résidait principalement pendant la période en cause, étant rappelé qu’un séjour prolongé permanent et ininterrompu n’est pas indispensable pour retenir un domicile. Enfin, il ressort des données de l’OCPM que Mme D______ a été autorisée à travailler à Genève depuis le 7 janvier 2022, soit pendant la période en cause, de sorte que l’intimé ne pouvait s’en tenir à son domicile officiel en Espagne.</w:t>
      </w:r>
    </w:p>
    <w:p>
      <w:r>
        <w:t>A/1810/2022 - 9/10 - Par ailleurs, il ressort de l’enquête sur le domicile de la mère des enfants du recourant, que celle-ci est repartie vivre en France après sa séparation d’avec le recourant, ce qui permet de retenir que le recourant ne résidait pas en France, aucun élément du dossier ne l’indiquant. La tante du recourant a confirmé, lors de l’enquête, que celui-ci avait été domicilié chez elle à la rue G______. Les déclarations du recourant permettent de comprendre pourquoi sa tante a écrit dans un premier temps à la caisse pour dire qu’il n’y habitait pas, à savoir en raison de leur brouille du fait de sa nouvelle compagne. En conclusion, la chambre de céans retient qu’il est établi au degré de la vraisemblance prépondérante que le recourant était bien domicilié en Suisse du 1er décembre 2021 au 28 février 2022.</w:t>
      </w:r>
    </w:p>
    <w:p>
      <w:r>
        <w:rPr>
          <w:b/>
        </w:rPr>
        <w:t>E. 6</w:t>
      </w:r>
    </w:p>
    <w:p>
      <w:r>
        <w:t>Fondé, le recours sera admis et la décision rendue par l’intimé le 3 mai 2022 annulée. La procédure est gratuite (art. 61 let. fbis a contrario LPGA).</w:t>
      </w:r>
    </w:p>
    <w:p>
      <w:r>
        <w:t>A/1810/2022 - 10/10 -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