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ATAS/815/2020 vom 29. September 2020</w:t>
      </w:r>
    </w:p>
    <w:p>
      <w:r>
        <w:t>GE Cour de justice, 2020-09-29, FR</w:t>
      </w:r>
    </w:p>
    <w:p>
      <w:r>
        <w:rPr>
          <w:b/>
        </w:rPr>
        <w:t xml:space="preserve">Quelle: </w:t>
      </w:r>
      <w:r>
        <w:t>https://mcp.opencaselaw.ch/entscheid/ge_gerichte_ATAS_815_2020</w:t>
      </w:r>
    </w:p>
    <w:p>
      <w:r>
        <w:t>FR: GE_GERICHTE ATAS/815/2020 du 29 septembre 2020</w:t>
      </w:r>
    </w:p>
    <w:p>
      <w:r>
        <w:t>IT: GE_GERICHTE ATAS/815/2020 del 29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 [LPA-GE - E 5 10]).</w:t>
      </w:r>
    </w:p>
    <w:p>
      <w:r>
        <w:rPr>
          <w:b/>
        </w:rPr>
        <w:t>E. 4</w:t>
      </w:r>
    </w:p>
    <w:p>
      <w:r>
        <w:t>Le litige porte sur le droit du recourant à des prestations d’invalidité, singulièrement à une rente.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A/381/2020 - 11/20 -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ou de données salariales résultant des DPT. Dans la première hypothèse,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w:t>
      </w:r>
    </w:p>
    <w:p>
      <w:r>
        <w:t>A/381/2020 - 12/20 -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rPr>
          <w:b/>
        </w:rPr>
        <w:t>E. 7</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w:t>
      </w:r>
    </w:p>
    <w:p>
      <w:r>
        <w:t>A/381/2020 - 13/20 -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Il sied en premier lieu de se prononcer sur la capacité de travail du recourant. La décision attaquée retient que le recourant ne peut plus travailler comme isoleur, mais qu’il est pleinement capable, depuis le 2 novembre 2018, d’exercer toute activité adaptée à ses limitations fonctionnelles, ce dont il résulte un degré d’invalidité (8 %) insuffisant pour ouvrir droit à une rente. Selon l’office, il convient d’admettre que le revenu statistique d’invalide dont il a tenu compte dans son calcul recouvre un large éventail d’activités légères, dont un certain nombre sont accessibles sans formation et adaptées aux limitations fonctionnelles de l’assuré. L’office relève par ailleurs qu’une maîtrise insuffisante de la langue française n’est pas un critère pertinent en matière d’assurance-invalidité. De son côté, le recourant soutient en substance que, compte tenu de ses limitations fonctionnelles – plus importantes que celles que l’OAI a initialement retenues sur la base d’un rapport du Dr D______ – et de sa méconnaissance de la langue française, ses perspectives de réinsertion professionnelle sont nulles. Selon lui, les activités professionnelles qui lui ont été proposées par l’ORIF ne peuvent être exercées que sous une forme tellement restreinte qu’elles n’existent pratiquement pas sur le marché du travail. En outre, le recourant conteste la valeur probante du rapport du Dr I______ du 30 avril 2019, dont il soutient qu’il repose exclusivement sur les informations figurant au dossier et non sur des observations cliniques, de sorte que ce document doit être considéré avec réserve. Il reproche également à l’OAI d’avoir enfreint son obligation d’instruire en se contentant de reprendre les conclusions du médecin d’arrondissement de l’assurance-accidents, sans procéder à la moindre instruction médicale. Enfin, le recourant fait grief à l’OAI d’avoir évalué sa</w:t>
      </w:r>
    </w:p>
    <w:p>
      <w:r>
        <w:t>A/381/2020 - 14/20 - capacité de gain de manière arbitraire en se fondant sur le rapport d’un conseiller en réadaptation pour nier son incapacité de travail. En l’occurrence, dans son rapport du 26 octobre 2018, le Dr I______ a conclu qu’une année après le traumatisme du rachis cervical et dorsal, les lésions osseuses étaient consolidées. À l’issue de son examen clinique du même jour, il a estimé que l’on pouvait s’attendre, dès le 2 novembre 2018, à une reprise de l’activité professionnelle à 50 %, moyennant un traitement antidouleur. La reprise de l’activité d’isoleur s’étant soldée par un échec, le Dr I______ est revenu sur son appréciation initiale dans un rapport subséquent établi le 18 février 2019, relevant qu’au vu de cet échec, des rapports médicaux récents (dont celui établi par le Dr K______ le 12 décembre 2018) et des douleurs persistantes, l’incapacité de travail dans la profession habituelle demeurait justifiée ; cependant, il convenait d’envisager un changement d’activité professionnelle. Enfin, dans deux nouveaux rapports établis les 10 et 30 avril 2019, le Dr I______ a jugé l’état de santé stabilisé et conclu que l’on pouvait exiger de l’assuré l’exercice, à plein temps, d’une profession adaptée permettant d’alterner les positions assise et debout, respectivement d’éviter les travaux de la nuque en hyperextension / hyperflexion, les stations debout ou assise prolongées, ainsi que le port de charges supérieures à</w:t>
      </w:r>
    </w:p>
    <w:p>
      <w:r>
        <w:rPr>
          <w:b/>
        </w:rPr>
        <w:t>E. 10</w:t>
      </w:r>
    </w:p>
    <w:p>
      <w:r>
        <w:t>Le recourant nie qu’il existe une profession physique ou manuelle adaptée à ses problèmes de santé, compte tenu de ses limitations fonctionnelles et de sa méconnaissance de la langue française. a.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w:t>
      </w:r>
    </w:p>
    <w:p>
      <w:r>
        <w:t>A/381/2020 - 16/20 - travail ou que son exercice suppose de la part de l'employeur des concessions irréalistes et que, de ce fait, il semble exclu de trouver un emploi correspondant (arrêt du Tribunal fédéral 9C_1035/2009 du 22 juin 2010 consid. 4.2.4 et les références citées). b. Dans le cas particulier, il convient d’admettre que si les limitations de l’assuré restreignent indéniablement le spectre des professions encore susceptibles d’être envisagées, il demeure tout de même, sur le marché du travail, un éventail suffisamment large d'activités simples et légères, ne nécessitant aucune formation particulière et dont un certain nombre sont adaptées à ses troubles cervico-dorsaux (arrêts du Tribunal fédéral 9C_1066/2009 du 22 septembre 2010 consid. 4.2 et 9C_279/2008 du 16 décembre 2008 consid. 4). En effet, l’ORIF a cité plusieurs cibles professionnelles adaptées à son handicap (opérateur en horlogerie, pousseur, agent de conditionnement, préparateur de commandes et monteur automaticien), tout en précisant que pour certaines de ces activités, il conviendrait que l’assuré puisse travailler en regardant un écran, moyennant l’utilisation d’une caméra. Pour d’autres professions, telles que celles de préparateur de commandes et de monteur automaticien, l’ORIF a indiqué qu’un stage n’avait pas pu être organisé en raison de la barrière de la langue, ce qui constitue cependant un facteur étranger à l’invalidité, selon la jurisprudence (cf. infra let. c). À l’issue d’un placement à l’essai dans une épicerie, l’office a estimé que le recourant pourrait exercer, entre autres, une activité dans le conditionnement, laquelle serait adaptée à ses limitations et ne nécessiterait pas de formation spécifique. Enfin, on rappellera qu'il n'y a pas lieu d'examiner dans quelle mesure la situation concrète du marché du travail permettrait au recourant de retrouver un emploi (ATF 134 V 64 consid. 4.2.1 ; ATF 110 V 273 consid. 4b ; arrêt du Tribunal fédéral 8C_926/2011 consid. 2.3). S’agissant de la maîtrise insuffisante de la langue française et du manque de formation dont se prévaut le recourant, c’est le lieu de rappeler que si des facteurs tels que le manque de formation, l'âge, ou les difficultés linguistiques jouent un rôle non négligeable pour déterminer dans un cas donné les activités que l'on peut encore raisonnablement exiger d'un assuré, ils ne constituent pas, selon la jurisprudence,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Partant, le grief tiré d’une absence de perspectives professionnelles et d’une méconnaissance de la langue française doit être écarté.</w:t>
      </w:r>
    </w:p>
    <w:p>
      <w:r>
        <w:rPr>
          <w:b/>
        </w:rPr>
        <w:t>E. 11</w:t>
      </w:r>
    </w:p>
    <w:p>
      <w:r>
        <w:t>Il reste à déterminer le degré d’invalidité. À titre liminaire, il convient de relever que l’intimé était fondé à procéder à sa propre évaluation de l’invalidité. En effet, conformément à la jurisprudence</w:t>
      </w:r>
    </w:p>
    <w:p>
      <w:r>
        <w:t>A/381/2020 - 17/20 - (ATF 133 V 549 consid. 6), l'assurance-invalidité n'est pas liée par l'évaluation de l'invalidité de l'assurance-accidents. Du 15 novembre 2017 au 9 avril 2019, l’assuré a présenté une capacité de travail nulle dans toute profession. Il en découle un degré d’invalidité de 100 %, qui lui ouvre le droit à une rente d’invalidité dès le 1er novembre 2018, à l’issue du délai de carence d’un an prescrit par la loi (art. 28 al. 1 et 2, 29 al. 1 LAI). Dès le 10 avril 2019, l’assuré pourrait exercer une profession adaptée à ses limitations. L’intimé a chiffré son degré d’invalidité à 7.9 %, en comparant le revenu sans invalidité (CHF 65'889.-) qu’il aurait perçu en bonne santé selon son ex-employeur, en tenant compte de l’évolution des salaires, avec le revenu statistique d’invalide (CHF 60'687.-) qu’il aurait été en mesure de réaliser dans une activité adaptée à son handicap, après déduction d’un abattement de 10 % (ESS 2016, tableau TA1_tirage_skill_level, niveau de compétence 1, indexé). Devant la chambre de céans, le recourant ne conteste pas le revenu sans invalidité retenu par l’intimé. S’agissant du revenu d’invalide,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(arrêts du Tribunal fédéral 9C_633/2017 du 29 décembre 2017 consid. 4.3 et 8C_227/2018 du</w:t>
      </w:r>
    </w:p>
    <w:p>
      <w:r>
        <w:rPr>
          <w:b/>
        </w:rPr>
        <w:t>E. 14</w:t>
      </w:r>
    </w:p>
    <w:p>
      <w:r>
        <w:t>juillet 2008 consid. 5.2). En ce qui concerne les difficultés linguistiques déjà évoquées, on relèvera que le niveau de qualification professionnelle retenu ne nécessite pas une bonne maîtrise d'une langue nationale (arrêt du Tribunal fédéral 9C_42/2017 du 29 juin 2017 consid. 3.4). Quant à la nationalité étrangère, elle ne joue pas de rôle en l'occurrence, dès lors que le recourant est titulaire d'une autorisation d'établissement et que les salaires statistiques sont établis en fonction de la population résidente aussi bien suisse qu'étrangère (arrêts du Tribunal fédéral des assurances I 700/04 du 17 janvier 2006 consid. 4.3.3 et I 764/06 du</w:t>
      </w:r>
    </w:p>
    <w:p>
      <w:r>
        <w:rPr>
          <w:b/>
        </w:rPr>
        <w:t>E. 19</w:t>
      </w:r>
    </w:p>
    <w:p>
      <w:r>
        <w:t>juin 2007). Partant, le taux d’abattement retenu par l’intimé ne prête pas le flanc à la critique. La comparaison des deux revenus déterminants donne un degré d’invalidité (arrondi) de 7 % [(65'889.- – CHF 61'196.-) / 65'889.-], lequel se révèle inférieur au seuil de 40 % et justifie donc la suppression de la rente d’invalidité avec effet au 1er août 2019, trois mois après l’amélioration de la capacité de gain (art. 28 al. 1 LAI et 88a al. 1 RAI). En conclusion, le recourant a droit à une rente entière d'invalidité du 1er novembre 2018 au 31 juillet 2019. 12. Pour le reste, le recourant ne réclame pas la mise en œuvre de nouvelles mesures de réadaptation. En tout état de cause, on relèvera qu’il ne peut prétendre à une mesure de reclassement (art. 17 al. 1 LAI), faute de présenter un degré d'invalidité d'au moins 20 %, comme l'exige la jurisprudence (ATF 130 V 488 consid. 4.2 et les références). Par ailleurs, l’intéressé – qui s’est déjà vu accorder une mesure d’orientation professionnelle et un placement à l’essai – ne désigne aucune autre mesure d’ordre professionnel susceptible d’entrer en considération dans son cas. Partant, il n’y a pas lieu de se pencher plus avant sur l’octroi d’autres mesures de réadaptation. 13. Le dossier permettant à la chambre de céans de se prononcer en connaissance de cause sur le bien-fondé de la décision attaquée, il est inutile d'ordonner une expertise judiciaire, par appréciation anticipée des preuves (ATF 122 II 464 consid. 4a). 14. Au vu de ce qui précède, le recours est partiellement admis et la décision du 17 décembre 2019 réformée, en ce sens que le recourant a droit à une rente entière d’invalidité du 1er novembre 2018 au 31 juillet 2019. Pour le reste, la décision est confirmée et le recours rejeté. 15. Le recourant obtenant partiellement gain de cause, une indemnité de CHF 1'500.- lui est accordée à titre de participation à ses frais et dépens (art. 61 let. g LPGA ;</w:t>
      </w:r>
    </w:p>
    <w:p>
      <w:r>
        <w:t>A/381/2020 - 19/20 - art. 89H al. 3 LPA ; art. 6 du règlement sur les frais, émoluments et indemnités en procédure administrative du 30 juillet 1986 - RFPA ; RS E 5 10.03), à charge de l’intimé. La procédure de recours en matière de contestation portant sur l’octroi ou le refus de prestations de l’assurance-invalidité étant soumise à des frais de justice, un émolument de CHF 200.- est mis à charge de l’intimé (art. 69 al. 1 bis LAI). *****</w:t>
      </w:r>
    </w:p>
    <w:p>
      <w:r>
        <w:t>A/381/2020 - 20/20 -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