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ATAS/815/2015 vom 28. Oktober 2015</w:t>
      </w:r>
    </w:p>
    <w:p>
      <w:r>
        <w:t>GE Cour de justice, 2015-10-28, FR</w:t>
      </w:r>
    </w:p>
    <w:p>
      <w:r>
        <w:rPr>
          <w:b/>
        </w:rPr>
        <w:t xml:space="preserve">Quelle: </w:t>
      </w:r>
      <w:r>
        <w:t>https://mcp.opencaselaw.ch/entscheid/ge_gerichte_ATAS_815_2015</w:t>
      </w:r>
    </w:p>
    <w:p>
      <w:r>
        <w:t>FR: GE_GERICHTE ATAS/815/2015 du 28 octobre 2015</w:t>
      </w:r>
    </w:p>
    <w:p>
      <w:r>
        <w:t>IT: GE_GERICHTE ATAS/815/2015 del 28 ottobre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délai et forme prescrits par la loi, le recours est recevable (art. 56 ss LPGA et 43 LPCC).</w:t>
      </w:r>
    </w:p>
    <w:p>
      <w:r>
        <w:rPr>
          <w:b/>
        </w:rPr>
        <w:t>E. 3</w:t>
      </w:r>
    </w:p>
    <w:p>
      <w:r>
        <w:t>Le litige porte sur le droit du recourant aux prestations complémentaires fédérales et cantonales, en particulier sur la question de savoir s’il se justifie de prendre en compte un gain potentiel du conjoint pour le calcul de ces prestations.</w:t>
      </w:r>
    </w:p>
    <w:p>
      <w:r>
        <w:rPr>
          <w:b/>
        </w:rPr>
        <w:t>E. 4</w:t>
      </w:r>
    </w:p>
    <w:p>
      <w:r>
        <w:t>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revenus déterminants au sens de l'art. 11 al. 1 LPC comprennent notamment les deux tiers des ressources en espèces ou en nature provenant de l'exercice d'une activité lucrative, pour autant qu'elles excèdent annuellement CHF 1'500.- pour un couple (let. a), et le produit de la fortune mobilière et immobilière (let. b), ainsi que les rentes, pensions et autres prestations périodiques, y compris les rentes de l'AVS et de l'AI (let. d). S'y ajoute un quinzième de la fortune nette pour les bénéficiaires de rentes de l'assurance-invalidité, dans la mesure où elle dépasse 40'000 fr. pour les couples (let. c). Sont également comprises dans les revenus déterminants les ressources et parts de fortune dont un ayant droit s'est dessaisi (let. g).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w:t>
      </w:r>
    </w:p>
    <w:p>
      <w:r>
        <w:rPr>
          <w:b/>
        </w:rPr>
        <w:t>E. 5</w:t>
      </w:r>
    </w:p>
    <w:p>
      <w:r>
        <w:t>S’agissant des prestations complémentaires cantonales, l’art. 4 LPCC prévoit qu’ont droit aux prestations les personnes dont le revenu annuel déterminant n’atteint pas le revenu minimum cantonal d’aide sociale (ci-après : RMCAS) applicable, le montant annuel de la prestation complémentaire correspondant à la part des dépenses reconnues qui excèdent le revenu annuel déterminant de</w:t>
      </w:r>
    </w:p>
    <w:p>
      <w:r>
        <w:t>A/2148/2015 - 5/8 - l'intéressé (art. 15 al. 1 LPCC). Selon l'art. 5 LPCC, le revenu déterminant est calculé conformément aux règles fixées dans la loi fédérale et ses dispositions d'exécution, moyennant notamment les adaptations suivantes : en dérogation à l'art. 11 al. 1 let. c LPC, la part de la fortune nette prise en compte dans le calcul du revenu déterminant est d'un huitième, respectivement d'un cinquième pour les bénéficiaires de rentes de vieillesse, et ce après déduction des franchises prévues par cette disposition (ch. 1) et du montant des indemnités en capital obtenues à titre de dommages et intérêts en réparation d'un préjudice corporel, y compris l'indemnisation éventuelle du tort moral (ch. 2).</w:t>
      </w:r>
    </w:p>
    <w:p>
      <w:r>
        <w:rPr>
          <w:b/>
        </w:rPr>
        <w:t>E. 6</w:t>
      </w:r>
    </w:p>
    <w:p>
      <w:r>
        <w:t>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b.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 du Tribunal fédéral des assurances 8C_655/2007 du 26 juin 2008, P 61/03 du 22 mars 2004, P 88/01 du 8 octobre 2002 et P 18/02 du 9 juillet 2002). c.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(arrêt du Tribunal fédéral des assurances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w:t>
      </w:r>
    </w:p>
    <w:p>
      <w:r>
        <w:t>A/2148/2015 - 6/8 -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w:t>
      </w:r>
    </w:p>
    <w:p>
      <w:r>
        <w:rPr>
          <w:b/>
        </w:rPr>
        <w:t>E. 7</w:t>
      </w:r>
    </w:p>
    <w:p>
      <w:r>
        <w:t>a. En l’occurrence, l’épouse du recourant est encore relativement jeune et en bonne santé. Son enfant est scolarisée et donc largement prise en charge par l’école. En dehors des horaires scolaires, elle peut être confiée au parascolaire ou à un tiers, à l'instar des nombreux enfants dont les deux parents travaillent à plein temps. Par conséquent, le concours du recourant pour la garde de l’enfant n’est pas nécessaire, de sorte que son état de santé n'est pas pertinent pour examiner la question de l'exigibilité d'un changement d'emploi ou d'une augmentation du temps de travail. Au demeurant, son épouse travaillait déjà avant son mariage et devait dès lors avoir trouvé une solution pour la surveillance de sa fille avant de connaître son mari. Il en va de même pendant l'hospitalisation du recourant. b. De surcroît, l'épouse du recourant travaille actuellement déjà huit heures par jour, correspondant à un taux d’activité de 85 %, selon ses dires. Il ne s’agit donc pas d’étendre son taux d’activité, étant précisé que la durée hebdomadaire moyenne de travail dans les entreprises en Suisse était en 2013 de 41,7 heures, mais de chercher un travail mieux rémunéré pour un nombre d'heures de travail presque égal. c. Le fait que l’épouse de la recourante ne parle pas le français ne constitue pas non plus un obstacle majeur pour trouver un emploi mieux rémunéré que celui que lui offre son employeur actuel. En effet, elle parle l’anglais et pourrait dès lors se faire comprendre par bon nombre d’employeurs dans le canton de Genève, lequel comprend un haut pourcentage d'étrangers, indépendamment du fait qu’elle devrait avoir acquis dans l'intervalle un minimum de notions de la langue française, étant en Suisse depuis 2013 et mariée à un homme francophone. d. Enfin, il est à relever également que les revenus réels de l’épouse du recourant ne sont nullement établis, celui-ci n’ayant produit que des copies des pièces qui les établiraient. Les bulletins de salaire de Monsieur B______ ne sont en outre pas signés. Il n’est enfin pas vraisemblable que le recourant ne soit pas en mesure de produire le certificat de salaire de son conjoint pour 2014, dès lors que ce document doit être obligatoirement joint à la déclaration fiscale. e. Les revenus du conjoint du recourant ne respectent pas non plus le contrat type de travail de l’économie domestique du 13 décembre 2011 (CTT-EDom ; RSG J 1 50.03), lequel prévoit pour un employé non qualifié un salaire minimal de CHF 3'700.- (art. 10 al. 1 let. f). Il est du reste incompréhensible, du moins dès la conclusion du mariage et l'obtention du permis B, que l’épouse du recourant</w:t>
      </w:r>
    </w:p>
    <w:p>
      <w:r>
        <w:t>A/2148/2015 - 7/8 - accepte de rester chez un employeur qui la rémunère largement en-dessous de ce qu’elle pourrait gagner dans un autre emploi, ne serait-ce qu’en faisant le ménage chez des particuliers. f. Par conséquent, c’est à raison que l’intimé jugé exigible que le conjoint du recourant change d’activité professionnelle, afin de réaliser un salaire correspondant aux montants usuels pratiqués sur le marché du travail.</w:t>
      </w:r>
    </w:p>
    <w:p>
      <w:r>
        <w:rPr>
          <w:b/>
        </w:rPr>
        <w:t>E. 8</w:t>
      </w:r>
    </w:p>
    <w:p>
      <w:r>
        <w:t>Quant au montant du gain potentiel, l’intimé s’est fondé sur le revenu médian des femmes tel qu'il ressort de l’Enquête suisse sur la structure des salaires (ESS) pour 2010, lequel est de CHF 4'205.65 pour les activités simples et répétitives. Cette façon de faire est conforme à la jurisprudence en la matière (cf. arrêt du Tribunal fédéral des assurances P 38/05 du 25 août 2006 consid. 4). Le calcul de l’intimé est également conforme aux autres dispositions légales en la matière. Il est à relever à cet égard que, conformément à ces dispositions, seul un salaire annuel total de CHF 32'645.35, ce qui correspond à CHF 2'720.40 par mois, a été inclus dans les revenus reconnus. Partant, la décision querellée doit être confirmée.</w:t>
      </w:r>
    </w:p>
    <w:p>
      <w:r>
        <w:rPr>
          <w:b/>
        </w:rPr>
        <w:t>E. 9</w:t>
      </w:r>
    </w:p>
    <w:p>
      <w:r>
        <w:t>Cela étant, le recours sera rejeté.</w:t>
      </w:r>
    </w:p>
    <w:p>
      <w:r>
        <w:rPr>
          <w:b/>
        </w:rPr>
        <w:t>E. 10</w:t>
      </w:r>
    </w:p>
    <w:p>
      <w:r>
        <w:t>La procédure est gratuite. ***</w:t>
      </w:r>
    </w:p>
    <w:p>
      <w:r>
        <w:t>A/2148/2015 - 8/8 -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