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ATAS/815/2014 vom 27. Juni 2014</w:t>
      </w:r>
    </w:p>
    <w:p>
      <w:r>
        <w:t>GE Cour de justice, 2014-06-27, FR</w:t>
      </w:r>
    </w:p>
    <w:p>
      <w:r>
        <w:rPr>
          <w:b/>
        </w:rPr>
        <w:t xml:space="preserve">Quelle: </w:t>
      </w:r>
      <w:r>
        <w:t>https://mcp.opencaselaw.ch/entscheid/ge_gerichte_ATAS_815_2014</w:t>
      </w:r>
    </w:p>
    <w:p>
      <w:r>
        <w:t>FR: GE_GERICHTE ATAS/815/2014 du 27 juin 2014</w:t>
      </w:r>
    </w:p>
    <w:p>
      <w:r>
        <w:t>IT: GE_GERICHTE ATAS/815/2014 del 27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sont applicables.</w:t>
      </w:r>
    </w:p>
    <w:p>
      <w:r>
        <w:rPr>
          <w:b/>
        </w:rPr>
        <w:t>E. 3</w:t>
      </w:r>
    </w:p>
    <w:p>
      <w:r>
        <w:t>Interjeté dans les formes et délai prévus par la loi, le présent recours est recevable (art. 56 à 61 LPGA).</w:t>
      </w:r>
    </w:p>
    <w:p>
      <w:r>
        <w:rPr>
          <w:b/>
        </w:rPr>
        <w:t>E. 4</w:t>
      </w:r>
    </w:p>
    <w:p>
      <w:r>
        <w:t>Le litige porte sur le droit de l'OAI de supprimer au recourant son allocation pour impotent.</w:t>
      </w:r>
    </w:p>
    <w:p>
      <w:r>
        <w:rPr>
          <w:b/>
        </w:rPr>
        <w:t>E. 5</w:t>
      </w:r>
    </w:p>
    <w:p>
      <w:r>
        <w:t>L’art. 17 al. 1er LPGA dispose que si le taux d’invalidité du bénéficiaire de la rente subit une modification notable, la rente est, d’office ou sur demande, révisée pour l’avenir, à savoir augmentée ou réduite en conséquence, ou encore supprimée.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Selon l'art. 35 al. 2 RAI, lorsque, par la suite, le degré d’impotence subit une modification importante, les art. 87 à 88bis sont applicables. Le droit à l’allocation s’éteint à la fin du mois au cours duquel l’une des autres conditions de ce droit n’est plus remplie. Les règles en vigueur relatives à la modification du droit à la rente s’appliquent par analogie à la modification de l’impotence (CIIAI no 8112 et 8113).</w:t>
      </w:r>
    </w:p>
    <w:p>
      <w:r>
        <w:rPr>
          <w:b/>
        </w:rPr>
        <w:t>E. 6</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w:t>
      </w:r>
    </w:p>
    <w:p>
      <w:r>
        <w:t>A/159/2014 - 9/13 -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d)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w:t>
      </w:r>
    </w:p>
    <w:p>
      <w:r>
        <w:rPr>
          <w:b/>
        </w:rPr>
        <w:t>E. 7</w:t>
      </w:r>
    </w:p>
    <w:p>
      <w:r>
        <w:t>a)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w:t>
      </w:r>
    </w:p>
    <w:p>
      <w:r>
        <w:t>A/159/2014 - 10/13 - si certains actes sont rendus plus difficiles ou même ralentis par l'infirmité, cela ne suffit pas pour conclure à l'existence d'une impotence (arrêt 9C_633/2012 du</w:t>
      </w:r>
    </w:p>
    <w:p>
      <w:r>
        <w:rPr>
          <w:b/>
        </w:rPr>
        <w:t>E. 8</w:t>
      </w:r>
    </w:p>
    <w:p>
      <w:r>
        <w:t>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w:t>
      </w:r>
    </w:p>
    <w:p>
      <w:r>
        <w:t>A/159/2014 - 11/13 -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9</w:t>
      </w:r>
    </w:p>
    <w:p>
      <w:r>
        <w:t>En l'espèce, il est admis que l'assuré a besoin d'une aide importante et régulière pour se baigner, dans la mesure où il ne peut pas entrer seul dans la baignoire, son épouse lui apportant cette aide à raison de trois fois par semaine en hiver et plus fréquemment en été. En revanche, les conditions pour retenir que l'assuré aurait besoin de soins permanents au sens de la loi ne sont pas réalisées, car même s'il a besoin de l'aide de son épouse pour soigner ses furoncles, ces soins ne sont pas apportés chaque jour durant toute l'année. S'agissant du besoin d'aide pour s'habiller, il convient en premier lieu de relever que l'assuré a d'abord spontanément déclaré, en remplissant le formulaire de révision, qu'il n'avait pas besoin d'aide pour cet acte. Lors de l'enquête sur place, il a confirmé cela et n'a à aucun moment prétendu qu'il s'était trompé en remplissant le formulaire. Ce n'est que lorsqu'il a réalisé les conséquences de ses affirmations – soit la suppression de l'allocation d'impotence – qu'il a modifié ses déclarations. En second lieu, l'enquêtrice a confirmé, après avoir été rendue attentive aux conséquences pénales d'un faux témoignage, que l'assuré avait affirmé se débrouiller pour se vêtir et se dévêtir et ne demander que rarement de l'aide à son fils. En dernier lieu, il ressort clairement des déclarations de l'épouse de l'assuré que ce dernier est en mesure, avec difficultés</w:t>
      </w:r>
    </w:p>
    <w:p>
      <w:r>
        <w:t>A/159/2014 - 12/13 - certes, de s'habiller et de se déshabiller. A cet égard, le fait que le fils de l'assuré l'aide effectivement pour cet acte, peut-être régulièrement mais en tout cas pas tous les soirs et tous les matins puisqu'il est régulièrement absent, n'est pas suffisant. En effet, si l'assuré est en mesure, avec difficultés et lentement, d'enfiler sa chaussette, son pantalon et ses chaussures, ce que son épouse a confirmé, le besoin d'aide pour cet acte ne peut pas être retenu selon la loi, même si un tiers l'aide pour que l'acte soit plus aisé et plus rapide. Ainsi, il est établi au degré de la vraisemblance prépondérante que l'assuré n'a pas besoin d'une aide importante et régulière pour se vêtir et se dévêtir. Dans la mesure où l'assuré a besoin d'une telle aide que pour un acte ordinaire de la vie, c'est à juste titre que l'OAI a supprimé l'allocation d'impotence légère avec effet au 28 février 2014. Il n'est pas contestable que l'assuré est handicapé et que, comme l’a relevé son épouse, il rencontre d'importantes difficultés. La stricte application de la loi à laquelle sont tenues les autorités et les juridictions ne remet pas en cause cette situation, les conséquences du handicap ayant été admises et prises en charge par des mesures médicales durant l'enfance, des moyens auxiliaires, puis une rente entière d'invalidité.</w:t>
      </w:r>
    </w:p>
    <w:p>
      <w:r>
        <w:rPr>
          <w:b/>
        </w:rPr>
        <w:t>E. 10</w:t>
      </w:r>
    </w:p>
    <w:p>
      <w:r>
        <w:t>Le recours, mal fondé, est rejeté. Etant donné que, depuis le 1er juillet 2006, la procédure n'est plus gratuite (art. 69 al. 1bis LAI), au vu du sort du recours, il y a lieu de condamner le recourant au paiement d'un émolument de CHF 200.-.</w:t>
      </w:r>
    </w:p>
    <w:p>
      <w:r>
        <w:t>A/159/2014 - 13/13 -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