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ATAS/814/2019 vom 10. September 2019</w:t>
      </w:r>
    </w:p>
    <w:p>
      <w:r>
        <w:t>GE Cour de justice, 2019-09-10, FR</w:t>
      </w:r>
    </w:p>
    <w:p>
      <w:r>
        <w:rPr>
          <w:b/>
        </w:rPr>
        <w:t xml:space="preserve">Quelle: </w:t>
      </w:r>
      <w:r>
        <w:t>https://mcp.opencaselaw.ch/entscheid/ge_gerichte_ATAS_814_2019</w:t>
      </w:r>
    </w:p>
    <w:p>
      <w:r>
        <w:t>FR: GE_GERICHTE ATAS/814/2019 du 10 septembre 2019</w:t>
      </w:r>
    </w:p>
    <w:p>
      <w:r>
        <w:t>IT: GE_GERICHTE ATAS/814/2019 del 10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Il court dès le lendemain de la notification de la décision (art.62 al. 3 LPA-GE et dans le même sens art. 38 al. 1 LPGA. Au vu des principes qui précèdent, interjeté dans la forme et le délai prévus par la loi, le recours est recevable (art. 56 ss LPGA et 89B LPA-GE).</w:t>
      </w:r>
    </w:p>
    <w:p>
      <w:r>
        <w:rPr>
          <w:b/>
        </w:rPr>
        <w:t>E. 4</w:t>
      </w:r>
    </w:p>
    <w:p>
      <w:r>
        <w:t>Est litigieux le droit de la recourante à l’assistance juridique à partir du 25 avril 2019, dans le cadre de l’instruction complémentaire menée par l’intimé à la suite de sa décision du 26 avril 2018 annulant sa décision sur 7 décembre 2017 et à l’arrêt de la chambre de céans du 8 mai 2018 rayant la cause du rôle. Plus particulièrement, il convient de déterminer si la complexité de la cause justifie l’assistance d’un avocat.</w:t>
      </w:r>
    </w:p>
    <w:p>
      <w:r>
        <w:rPr>
          <w:b/>
        </w:rPr>
        <w:t>E. 5</w:t>
      </w:r>
    </w:p>
    <w:p>
      <w:r>
        <w:t>Aux termes de l’art. 29 al. 3 de la Constitution fédérale de la Confédération suisse du 18 avril 1999 (Cst. - RS 101), toute personne qui ne dispose pas de ressources</w:t>
      </w:r>
    </w:p>
    <w:p>
      <w:r>
        <w:t>A/2307/2019 - 10/15 -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w:t>
      </w:r>
    </w:p>
    <w:p>
      <w:r>
        <w:t>A/2307/2019 - 11/15 -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w:t>
      </w:r>
    </w:p>
    <w:p>
      <w:r>
        <w:t>A/2307/2019 - 12/15 -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la recourante sollicite l’assistance juridique dans le cadre de l’instruction complémentaire menée par l’intimé à la suite de sa décision du 26 avril 2018 annulant sa décision du 7 décembre 2017. Ladite instruction se base sur les rapports du Dr I______ du 29 janvier 2019, du Dr J______ du 12 février 2019, du Dr K______ du 29 mars 2019 et du Dr L______ du 3 mai 2019, ainsi que sur le rapport final du SMR établi le 28 mai 2019. Ce dernier admet que la recourante ne dispose d’aucune capacité de travail exigible dans une quelconque activité depuis le 28 octobre 2014 et décrit les limitations fonctionnelles engendrées par ses troubles gastroentérologiques, rhumatologiques et psychiques. Au vu de la jurisprudence susmentionnée, la nature du litige concernant le droit à une rente d’invalidité ne permet pas d’admettre que la situation juridique de la recourante est susceptible d’être touchée gravement, de sorte que l’assistance juridique n’apparaît pas d’emblée comme nécessaire. De plus, la procédure d’instruction est habituellee, puisqu’à la suite de sa décision du 26 avril 2018 annulant sa décision du 7 décembre 2017 qui limitait au 31 mars 2017 le droit à un trois-quarts de rente, l’intimé a complété l’instruction médicale du dossier sur divers points, notamment sur les diagnostics retenus par les divers spécialistes, leur effet incapacitant et la capacité de travail exigible de la recourante dans une activité adaptée aux limitations fonctionnelles. À cet égard et contrairement à ce que soutient la recourante, dans son arrêt du 8 mai 2018, la chambre de céans n’a pas renvoyé la cause à l’intimé pour instruction complémentaire, mais a seulement pris acte de l’annulation de la décision du 7 décembre 2017. Le fait que l’intimé n’ait pas encore émis une nouvelle décision douze mois après l’arrêt rayant la cause du rôle n’a rien d’extraordinaire dès lors que le service juridique de l’intimé a requis l’avis du SMR en décembre 2018, puis que la clinique du sein des HUG a mis presque cinq mois pour établir son rapport médical.</w:t>
      </w:r>
    </w:p>
    <w:p>
      <w:r>
        <w:t>A/2307/2019 - 13/15 - Sur le plan médical, le SMR a admis l’absence de capacité de travail exigible de la part de la recourante depuis le 28 octobre 2014 dans toute activité, de sorte que la question de la capacité de travail dans l’activité professionnelle est résolue. Au vu du statut mixte de la recourante, la question de ses empêchements dans la sphère ménagère doit être déterminée par une enquête ménagère, étant précisé que dans son rapport final du 28 mai 2019, le SMR a énuméré les diverses limitations fonctionnelles dont l’enquêtrice devra tenir compte dans son évaluation. Par conséquent, la situation médicale ne présente pas de difficultés telles que le recours à un avocat soit nécessaire à ce stade de la procédure. Sur le plan juridique, se pose la question de la détermination du degré d’invalidité selon la méthode mixte. La recourante fait valoir de façon toute générale que la question du statut mixte pose certaines difficultés tant sur le plan juridique que factuel. Faute de préciser en quoi consistent lesdites difficultés dans son cas personnel, la chambre de céans ne peut que rejeter cet argument. Par ailleurs, le fait que l’invalidité résulte d’une atteinte à la santé ou de diverses atteintes à la santé n’a aucune importance dans la procédure actuelle dès lors que l’intimé a reconnu l’absence de toute capacité de travail exigible dès le 28 octobre 2014 sans interruption et que la question de l’existence de nouveaux cas d’assurance ne se pose pas. Par conséquent, le cas de la recourante ne présente pas de complexité particulière sur le plan juridique qui rende nécessaire l’assistance d’un avocat à ce stade de la procédure. S’agissant des chances de succès de la recourante, elles apparaissent ténues dès lors qu’elle ne produit aucun rapport médical permettant de douter de la pertinence des conclusions du rapport final établi par le SMR en date du 28 mai 2019 et que le rapport d’enquête ménagère a en principe une valeur probante (ATF 128 V 93 consid. 4; arrêt du Tribunal fédéral 9C_625/2017 du 26 mars 2018 consid. 6.2). En outre, il est douteux que la recourante nécessite l’aide d’un avocat pour s’orienter dans la procédure en raison de ses importants problèmes psychiques qui l’empêchent de faire valoir ses droits. En effet, étant donné qu’elle perçoit une aide financière de l’HG, elle est aidée par une assistante sociale qui est parfaitement en mesure de faire respecter ses droits, au besoin en ayant recours au concours de son médecin traitant ou de son psychiatre. En revanche, les parties s’accordent sur l’indigence de la recourante. Étant donné que seule une des conditions cumulatives permettant d’accorder l’assistance juridique est réalisée, son refus doit être confirmé.</w:t>
      </w:r>
    </w:p>
    <w:p>
      <w:r>
        <w:t>A/2307/2019 - 14/15 -</w:t>
      </w:r>
    </w:p>
    <w:p>
      <w:r>
        <w:rPr>
          <w:b/>
        </w:rPr>
        <w:t>E. 9</w:t>
      </w:r>
    </w:p>
    <w:p>
      <w:r>
        <w:t>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A/2307/2019 - 15/15 -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