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ATAS/814/2011 vom 5. September 2011</w:t>
      </w:r>
    </w:p>
    <w:p>
      <w:r>
        <w:t>GE Cour de justice, 2011-09-05, FR</w:t>
      </w:r>
    </w:p>
    <w:p>
      <w:r>
        <w:rPr>
          <w:b/>
        </w:rPr>
        <w:t xml:space="preserve">Quelle: </w:t>
      </w:r>
      <w:r>
        <w:t>https://mcp.opencaselaw.ch/entscheid/ge_gerichte_ATAS_814_2011</w:t>
      </w:r>
    </w:p>
    <w:p>
      <w:r>
        <w:t>FR: GE_GERICHTE ATAS/814/2011 du 5 septembre 2011</w:t>
      </w:r>
    </w:p>
    <w:p>
      <w:r>
        <w:t>IT: GE_GERICHTE ATAS/814/2011 del 5 settembre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Interjeté dans la forme et le délai prescrits, le recours est recevable (art. 60 et 61 let. b LPGA).</w:t>
      </w:r>
    </w:p>
    <w:p>
      <w:r>
        <w:rPr>
          <w:b/>
        </w:rPr>
        <w:t>E. 2</w:t>
      </w:r>
    </w:p>
    <w:p>
      <w:r>
        <w:t>Le recourant se plaint du manque d'investigation médicale dans son dossier, soutenant qu'en raison de son état de santé, sa capacité de travail est nulle. 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L’invalidité est réputée survenue dès qu’elle est, par sa nature et sa gravité, propre à ouvrir droit aux prestations entrant en considération (art. 4 al. 2 LAI). Ce moment doit être déterminé objectivement sur la base de l’état de santé. S’agissant du droit à une rente, la survenance de l’invalidité correspond au moment où celui-ci prend naissance, en application de l’art. 29 al. 1 LAI, soit dès que l’assuré présente une incapacité de gain durable de 40% au moins ou dès qu’il a présenté, en moyenne, une incapacité de travail de 40% au moins pendant une année sans interruption notable, mais au plus tôt le 1er jour du mois qui suit le dix-huitième anniversaire de l’assuré (art. 29 al. 2 LAI ; ATF 126 V 5 9 consid. 2b et références citées). b) D’après la jurisprudence, on applique dans le domaine de l’assurance-invalidité le principe selon lequel un invalide doit, avant de requérir des prestations de l’assurance-invalidité, entreprendre de son propre chef tout ce qu’on peut raisonnablement attendre de lui pour atténuer le mieux possible les conséquences</w:t>
      </w:r>
    </w:p>
    <w:p>
      <w:r>
        <w:t>A/3855/2010 - 5/7 - de son invalidité (ATF 134 V 64 consid. 4; 123 V 233 consid. 3c; 117 V 278 consid. 2b, 400 consid. 4b et les arrêts cités). Plus particulièrement, l'assurance peut réduire ou refuser temporairement ou définitivement ses prestations si l'assuré se soustrait ou s'oppose, dans les limites de ce qui peut raisonnablement être exigé de lui, à un traitement susceptible d'améliorer notablement sa capacité de travail. Elle doit, cependant, faire précéder son refus par une mise en demeure écrite avertissant l'assuré des conséquences juridiques et lui impartir un délai de réflexion convenable (art. 21 al. 4 LPGA).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cf. ATF 130 III 324 consid. 3.2 et 3.3). d) En l'espèce, l'intimé s'est fondé sur l'attitude de l'assuré, qui, selon les examens sanguins pratiqués le 8 juillet 2010, n'observait pas la prescription médicamenteuse de son médecin traitant. Si le manque de collaboration du recourant était susceptible de justifier un refus ou une réduction de prestation, une telle conséquence ne pouvait intervenir qu'après une mise en demeure formelle, conformément à l'art. 21 al. 4 LPGA. Celle-ci n'a toutefois pas eu lieu in casu, de sorte que la décision querellée doit être annulée pour ce motif. Selon le Dr A___________, qui a procédé à des examens sanguins réguliers - en tous cas en mars et mai 2011 -, le recourant se conforme désormais au traitement prescrit. Une mise en demeure n'est, donc, a priori plus nécessaire. En revanche, il conviendra de procéder aux investigations médicales nécessaires en nommant un expert psychiatre afin de déterminer si le recourant présente, malgré l'observance du traitement tant thérapeutique que médicamenteux, une incapacité de travail, comme le retient son psychiatre. Le présent renvoi en vue d'instruction ne viole, en l'espèce, ni le principe de simplicité et de rapidité de la procédure, ni le principe inquisitoire (RAMA 1993 n° U 170 p. 136, 1989 n° K 809 p. 206; RAMA 1986 n° K 665 p. 87). Par ailleurs, une telle démarche ne prolongera pas de manière disproportionnée la procédure de l'assurance-invalidité, la demande de prestations datant de mars 2010.</w:t>
      </w:r>
    </w:p>
    <w:p>
      <w:r>
        <w:rPr>
          <w:b/>
        </w:rPr>
        <w:t>E. 3</w:t>
      </w:r>
    </w:p>
    <w:p>
      <w:r>
        <w:t>Le recourant, qui obtient partiellement gain de cause, a droit à une indemnité à titre de participation à ses frais et dépens, que la Cour fixe en l’espèce à 1'000 fr. (art. 611 let. g LPGA ; art. 89H al. 3 LPA ; ATF 122 V 278, consid. 3e/aa). L’intimé sera par ailleurs condamné à un émolument de 500 fr. (art. 69 al. 1 bis LAI).</w:t>
      </w:r>
    </w:p>
    <w:p>
      <w:r>
        <w:t>A/3855/2010 - 6/7 - * * *</w:t>
      </w:r>
    </w:p>
    <w:p>
      <w:r>
        <w:t>A/3855/2010 - 7/7 -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