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ATAS/813/2019 vom 10. September 2019</w:t>
      </w:r>
    </w:p>
    <w:p>
      <w:r>
        <w:t>GE Cour de justice, 2019-09-10, FR</w:t>
      </w:r>
    </w:p>
    <w:p>
      <w:r>
        <w:rPr>
          <w:b/>
        </w:rPr>
        <w:t xml:space="preserve">Quelle: </w:t>
      </w:r>
      <w:r>
        <w:t>https://mcp.opencaselaw.ch/entscheid/ge_gerichte_ATAS_813_2019</w:t>
      </w:r>
    </w:p>
    <w:p>
      <w:r>
        <w:t>FR: GE_GERICHTE ATAS/813/2019 du 10 septembre 2019</w:t>
      </w:r>
    </w:p>
    <w:p>
      <w:r>
        <w:t>IT: GE_GERICHTE ATAS/813/2019 del 10 settembre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le recours est recevable (art. 56 et 60 LPGA; art. 89B de la loi sur la procédure administrative du 12 septembre 1985 - [LPA-GE - E 5 10]).</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 fédéral 8C_87/2007 du 1er février 2008 consid. 1.1).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w:t>
      </w:r>
    </w:p>
    <w:p>
      <w:r>
        <w:t>A/1803/2019 - 4/7 - tard trente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w:t>
      </w:r>
    </w:p>
    <w:p>
      <w:r>
        <w:rPr>
          <w:b/>
        </w:rPr>
        <w:t>E. 4</w:t>
      </w:r>
    </w:p>
    <w:p>
      <w:r>
        <w:t>janvier 2002, consid. 5.1.1 et 5.2).</w:t>
      </w:r>
    </w:p>
    <w:p>
      <w:r>
        <w:rPr>
          <w:b/>
        </w:rPr>
        <w:t>E. 5</w:t>
      </w:r>
    </w:p>
    <w:p>
      <w:r>
        <w:t>Le litige porte sur le droit de l’OAI de réclamer à l’assuré le remboursement de la somme de CHF 70'532.-, représentant le rétroactif des rentes d’invalidité du 1er avril 2015 au 30 novembre 2018.</w:t>
      </w:r>
    </w:p>
    <w:p>
      <w:r>
        <w:rPr>
          <w:b/>
        </w:rPr>
        <w:t>E. 6</w:t>
      </w:r>
    </w:p>
    <w:p>
      <w:r>
        <w:t>a. L'art. 22 al. 1 LPGA prévoit que le droit aux prestations est incessible; il ne peut être donné en gage. Toute cession ou mise en gage est nulle. En revanche, selon l’art. 22 al. 2 LPGA, les prestations accordées rétroactivement par l'assureur social peuvent être cédées : (a) à l'employeur ou à une institution d'aide sociale publique ou privée dans la mesure où ceux-ci ont consenti des avances; (b) à l'assureur qui a pris provisoirement à sa charge des prestations. b/aa. À teneur de l'art. 85bis al. 1 du règlement du 17 janvier 1961 sur l’assurance- invalidité du 17 janvier 1961 (RAI - RS 831.201),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w:t>
      </w:r>
    </w:p>
    <w:p>
      <w:r>
        <w:t>A/1803/2019 - 5/7 - d’un formulaire spécial, au plus tôt lors de la demande de rente et, au plus tard, au moment de la décision de l’office AI. À noter que ce régime n'a pas été modifié par l'entrée en vigueur de l'art. 22 al. 2 LPGA (arrêts du tribunal fédéral 9C_731/2010 du 20 juin 2011 consid. 3 et I 518/05 du 14 août 2006, in SVR 2007 IV n° 14 p. 52). b/bb. En vertu de l’art. 85bis al. 2 RAI, sont considérées comme des avances : (a) les prestations librement consenties, que l’assuré s’est engagé à rembourser, pour autant qu’il ait convenu par écrit que l’arriéré serait versé au tiers ayant effectué l’avance; (b) celles versées contractuellement ou légalement, pour autant que le droit au remboursement, en cas de paiement d’une rente, puisse être déduit sans équivoque du contrat ou de la loi. b/cc. Les arrérages de rente peuvent être versés à l’organisme ayant consenti une avance jusqu’à concurrence, au plus, du montant de celle-ci et pour la période à laquelle se rapportent les rentes (art. 85bis al. 3 RAI). c. Les avances librement consenties selon l'art. 85bis al. 2 let. a RAI supposent le consentement écrit de la personne intéressée pour que le créancier puisse en exiger le remboursement. Dans l'éventualité de l'art. 85bis al. 2 let. b RAI, le consentement n'est pas nécessaire, celui-ci étant remplacé par l'exigence d'un droit au remboursement « sans équivoque ». Pour que l'on puisse parler d'un droit non équivoque au remboursement à l'égard de l’assurance-invalidité, il faut que le droit direct au remboursement découle expressément d'une norme légale ou contractuelle (voir par exemple VSI 2003 p. 265, I 31/00; ATF 133 V 14 consid. 8.3 ; ATF 131 V 249 consid. 6.2). d. En l’espèce, l’assuré ne conteste ni le principe de la restitution, ni le montant. Il suffira dès lors de rappeler que l’OAI avait expressément prévu, dans sa décision du 20 novembre 2018, que la somme de CHF 70'532.-, représentant le rétroactif des rentes, soit retenu en faveur de l’Hospice général, au vu des avances que celui-ci avait versées à l’assuré selon la demande de compensation du 14 novembre 2018, et au vu de l’ordre de paiement signé par l’assuré le 8 octobre 2015. Or, ce montant a été directement versé à l’assuré. C’est en conséquence à juste titre que l’OAI entend lui en demander la restitution conformément à l’art. 25 al. 1, 1ère phrase, LPGA, selon lequel les prestations indûment touchées doivent être restituées.</w:t>
      </w:r>
    </w:p>
    <w:p>
      <w:r>
        <w:rPr>
          <w:b/>
        </w:rPr>
        <w:t>E. 7</w:t>
      </w:r>
    </w:p>
    <w:p>
      <w:r>
        <w:t>a. Aux termes de l'art. 25 al. 2, 1ère phrase, LPGA (RS 830.1), le droit de demander la restitution de prestations indûment touchées s'éteint un an après le moment où l'institution d'assurance a eu connaissance du motif de restitution, mais au plus tard cinq ans après le versement de la prestation. Selon la jurisprudence, il s'agit de délais (relatif et absolu) de péremption (ATF 142 V 20 consid. 3.2.2 p. 24 et les</w:t>
      </w:r>
    </w:p>
    <w:p>
      <w:r>
        <w:t>A/1803/2019 - 6/7 - références). Ces délais ne peuvent par conséquent être interrompus. Lorsque l'autorité a accompli l'acte conservatoire que prescrit la loi, le délai se trouve sauvegardé, cela une fois pour toutes (arrêt 8C_616/2009 du 14 décembre 2009 consid. 3.1 et les références). Le délai de péremption relatif d'une année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140 V 521 consid. 2.1 p. 525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À ce défaut, le début du délai de péremption doit être fixé au moment où elle aurait été en mesure de rendre une décision de restitution si elle avait fait preuve de l'attention que l'on pouvait raisonnablement exiger d'elle. Dans tous les cas, le délai de péremption relatif d'une année commence à courir immédiatement s'il s'avère que les prestations en question étaient clairement indues (arrêt 9C_454/2012 du 18 mars 2013 consid. 4, non publié à l'ATF 139 V 106 et les références). b. La chambre de céans constate qu’en réclamant la restitution du rétroactif le</w:t>
      </w:r>
    </w:p>
    <w:p>
      <w:r>
        <w:rPr>
          <w:b/>
        </w:rPr>
        <w:t>E. 12</w:t>
      </w:r>
    </w:p>
    <w:p>
      <w:r>
        <w:t>avril 2019, alors que la décision d’octroi de rente a été rendue le 20 novembre 2018, l’OAI a quoi qu’il en soit respecté les délais d’un an et de cinq ans. Aussi la décision de restitution du 12 avril 2019 doit-elle être confirmée. Le recours est, partant, rejeté. Aux termes de l’art. 25 al. 1, 2ème phrase, LPGA, la restitution ne peut être exigée lorsque l'intéressé était de bonne foi et qu'elle le mettrait dans une situation difficile. La cause est renvoyée à l’OAI pour examen des conditions permettant la remise de l’obligation de restituer et pour nouvelle décision, étant considéré qu’il n’est pas manifeste que tel soit le cas (art. 3 OPGA).</w:t>
      </w:r>
    </w:p>
    <w:p>
      <w:r>
        <w:t>A/1803/2019 - 7/7 -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