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ATAS/813/2017 vom 25. September 2017</w:t>
      </w:r>
    </w:p>
    <w:p>
      <w:r>
        <w:t>GE Cour de justice, 2017-09-25, FR</w:t>
      </w:r>
    </w:p>
    <w:p>
      <w:r>
        <w:rPr>
          <w:b/>
        </w:rPr>
        <w:t xml:space="preserve">Quelle: </w:t>
      </w:r>
      <w:r>
        <w:t>https://mcp.opencaselaw.ch/entscheid/ge_gerichte_ATAS_813_2017</w:t>
      </w:r>
    </w:p>
    <w:p>
      <w:r>
        <w:t>FR: GE_GERICHTE ATAS/813/2017 du 25 septembre 2017</w:t>
      </w:r>
    </w:p>
    <w:p>
      <w:r>
        <w:t>IT: GE_GERICHTE ATAS/813/2017 del 25 settembre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w:t>
      </w:r>
    </w:p>
    <w:p>
      <w:r>
        <w:t>A/1383/2014 - 13/23 - 1er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w:t>
      </w:r>
    </w:p>
    <w:p>
      <w:r>
        <w:t>A/1383/2014 - 17/23 -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w:t>
      </w:r>
    </w:p>
    <w:p>
      <w:r>
        <w:t>Le litige porte sur le droit éventuel de la recourante aux prestations de l’assurance- invalidité, en particulier sur les atteintes à sa santé ayant une influence sur sa capacité de travail et sur son degré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w:t>
      </w:r>
    </w:p>
    <w:p>
      <w:r>
        <w:t>A/1383/2014 - 14/23 -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w:t>
      </w:r>
    </w:p>
    <w:p>
      <w:r>
        <w:t>A/1383/2014 - 15/23 -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w:t>
      </w:r>
    </w:p>
    <w:p>
      <w:r>
        <w:rPr>
          <w:b/>
        </w:rPr>
        <w:t>E. 9</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w:t>
      </w:r>
    </w:p>
    <w:p>
      <w:r>
        <w:t>A/1383/2014 - 16/23 - rapport en pour-cent entre ces deux valeurs (ATF 104 V 136 consid. 2a; RCC 1992 p. 136 consid. 1b). La part des travaux habituels constitue le reste du pourcentage (ATF 130 V 393 consid. 3.3 et ATF 104 V 136 consid. 2a).</w:t>
      </w:r>
    </w:p>
    <w:p>
      <w:r>
        <w:rPr>
          <w:b/>
        </w:rPr>
        <w:t>E. 10</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b) Pour satisfaire à l'obligation de réduire le dommage (voir ATF 129 V 463 consid.</w:t>
      </w:r>
    </w:p>
    <w:p>
      <w:r>
        <w:rPr>
          <w:b/>
        </w:rPr>
        <w:t>E. 11</w:t>
      </w:r>
    </w:p>
    <w:p>
      <w:r>
        <w:t>En l’espèce, les parties ne s’opposent pas sur le statut de la recourante, ni sur le contenu de l’enquête économique sur le ménage. Compte tenu des éléments figurant au dossier, force est de constater que la recourante présente effectivement un statut mixte. Avant son accident en juin 2008, elle cumulait deux emplois pour un taux d’activité total de 70%, de sorte qu’elle consacrait le reste de son temps à la tenue de son ménage. Par conséquent, c’est à bon droit que l’intimé a calculé le degré d’invalidité de la recourante en utilisant la méthode mixte. Quant à l’enquête économique sur le ménage, outre le fait qu’elle n’est pas contestée, elle apparaît comme cohérente avec l’état de santé de la recourante et les limitations fonctionnelles qui en découlent.</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A/1383/2014 - 18/23 -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w:t>
      </w:r>
    </w:p>
    <w:p>
      <w:r>
        <w:t>A/1383/2014 - 19/23 -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w:t>
      </w:r>
    </w:p>
    <w:p>
      <w:r>
        <w:t>A/1383/2014 - 20/23 -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arrêt du Tribunal fédéral 8C_760/2011 du 26 janvier 2012 consid. 3).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14</w:t>
      </w:r>
    </w:p>
    <w:p>
      <w:r>
        <w:t>a) En l’espèce, l’intimé considère que la capacité de travail de l’assurée est nulle dans son activité habituelle et de 100% dans une activité adaptée à ses limitations fonctionnelles, soit une activité monomanuelle droite uniquement et excluant l’usage du membre supérieur gauche, depuis mars 2011. Quant au trouble psychique de la recourante, il ne l’estime pas incapacitant. Pour parvenir à ces conclusions, l’intimé se fonde principalement sur les investigations de la SUVA, ainsi que sur l’avis de la Dresse P______ du 18 juillet 2013. Quant à la recourante, elle considère que son incapacité de travail est totale, quelle que soit l’activité déployée. Elle s’appuie sur les rapports de ses médecins traitants, ainsi que sur l’enquête économique sur le ménage du 2 octobre 2013. Selon elle, son incapacité de travail est non seulement due à ses atteintes somatiques, mais également à son état dépressif et sa perte d’intégration sociale. b) En l’occurrence, les atteintes à l’épaule, au coude et à la main gauche de la recourante, ainsi que les limitations fonctionnelles qu’elles engendrent sont clairement établies par l’ensemble des rapports médicaux figurant au dossier. D’ailleurs, l’intimé ne les remet pas en question, bien au contraire. Contrairement à ce que semble soutenir la recourante, le fait qu’elle présente un état douloureux au niveau de son bras gauche ne saurait exclure toute capacité de travail de facto, sans que des rapports médicaux aillent en ce sens. Or, si les différents médecins consultés sont unanimes pour nier toute capacité de travail dans son activité habituelle, tel n’est pas le cas en ce qui concerne une activité adaptée aux</w:t>
      </w:r>
    </w:p>
    <w:p>
      <w:r>
        <w:t>A/1383/2014 - 21/23 - limitations fonctionnelles liées à son bras gauche. Dans son rapport du 19 avril 2013, le Dr O______ a conclu que, compte tenu de l’état du bras gauche et des complications survenues, la reprise d’une activité professionnelle nécessitant l’usage des deux membres supérieurs n’était pas envisageable. En revanche, une pleine capacité de travail pouvait être envisagée dans une activité monomanuelle ne comportant pas d’efforts physiques, comme les ports de charges ou la manipulation de gros objets. Ces conclusions ont été reprises par la Dresse P______ dans son avis du 18 juillet 2013. Pour le surplus, les médecins traitants de la recourante n’ont pas apporté d’éléments contredisant cette analyse. En effet, soit ces derniers ont uniquement tranché la question de la capacité de travail dans l’activité habituelle sans aborder la question de la capacité de travail dans une activité adaptée, soit ils ont laissé la question ouverte, comme les Drs F______ ou J______ dans leurs rapports respectifs des 11 juin 2011 et 15 juillet 2012. En tous les cas, aucun médecin n’a conclu à une incapacité de travail totale dans toute activité, ni fourni une motivation suffisante à ce sujet. d) Cela étant, si la question des atteintes somatiques semble en l’état avoir été examinée et tranchée à satisfaction de droit, tel n’est pas le cas de la question des atteintes psychiques et de leur éventuelle influence sur la capacité de travail de la recourante. Selon ses propres termes, l’intimé a tranché le cas de la recourante en se basant sur les investigations médicales conduites par la SUVA suite à l’accident du 28 juin 2008. Il ressort du dossier que cette dernière a principalement conduit son instruction par rapport au bras gauche de la recourante. La SUVA a admis la présence d’un trouble psychique et l’existence d’un lien de causalité naturelle entre ledit trouble et l’accident de la recourante. Dans sa décision du 18 juin 2015, elle a même admis que ce trouble réduisait la capacité de travail de l'intéressée. Elle a toutefois nié que cet évènement accidentel puisse être en relation de causalité adéquate avec le trouble psychique de l’intéressée, de sorte qu’aucune prestation ne pouvait lui être servie en lien avec cette atteinte. Sur ce point, il convient de relever que la question de l’existence d’un lien de causalité adéquate entre l’accident et le trouble psychique est sans aucune pertinence par rapport à la détermination du degré d’invalidité, et donc du droit éventuel aux prestations, dans le cadre de l’assurance-invalidité. En effet, rappelons que cette assurance couvre notamment l'incapacité de gain totale ou partielle présumée permanente ou de longue durée, résultant d'une infirmité congénitale, d'une maladie ou d'un accident (art. 8 al. 1 LPGA et 4 al. 1 LAI). En l’occurrence, si l’existence d’un trouble psychique est objectivée et admise par les parties, force est de constater que les différents documents médicaux qui en font état ne permettent pas de déterminer si celui-ci entraîne des limitations fonctionnelles et/ou une diminution de la capacité de travail de la recourante. En effet, les rapports du Dr J______ sont lacunaires et ne sont pas suffisamment motivés, de sorte que l’influence que pourrait avoir le trouble psychique sur la</w:t>
      </w:r>
    </w:p>
    <w:p>
      <w:r>
        <w:t>A/1383/2014 - 22/23 - capacité de travail de la recourante dans une activité adaptée aux limitations fonctionnelles physiques n’est pas déterminable. Dans son rapport du 19 avril 2013, le Dr O______ a retenu que l’état dépressif réactif justifiait un suivi médical à long terme, sans plus de précision. Quant à l’avis de la Dresse P______, il est lui-même fondé exclusivement sur des rapports médicaux incomplets de sorte qu’il ne peut se voir reconnaître une valeur probante et permettre de trancher le litige en l’état. En tout état de cause, la motivation de ce médecin n’est pas suffisante et semble plus reposer sur des indices que sur des éléments factuels. e) Par conséquent, il apparaît que l’instruction du dossier par l’intimé est lacunaire. Il appartiendra à ce dernier de mener les mesures d’instruction nécessaires pour déterminer la nature exacte du trouble psychique de la recourante et si, cumulé aux troubles somatiques, il influence ou non sa capacité de travail. Cela fait, l’intimé devra procéder à un nouveau calcul du degré d’invalidité et rendre une nouvelle décision.</w:t>
      </w:r>
    </w:p>
    <w:p>
      <w:r>
        <w:rPr>
          <w:b/>
        </w:rPr>
        <w:t>E. 15</w:t>
      </w:r>
    </w:p>
    <w:p>
      <w:r>
        <w:t>Au vu de ce qui précède, le recours sera partiellement admis, la décision du 4 avril 2014 annulée et la cause renvoyée à l’intimé pour instruction complémentaire au sens des considérants. La recourante obtenant gain de cause, une indemnité de CHF 1'500.-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A/1383/2014 - 23/23 -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