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ATAS/811/2022 vom 19. September 2022</w:t>
      </w:r>
    </w:p>
    <w:p>
      <w:r>
        <w:t>GE Cour de justice, 2022-09-19, FR</w:t>
      </w:r>
    </w:p>
    <w:p>
      <w:r>
        <w:rPr>
          <w:b/>
        </w:rPr>
        <w:t xml:space="preserve">Quelle: </w:t>
      </w:r>
      <w:r>
        <w:t>https://mcp.opencaselaw.ch/entscheid/ge_gerichte_ATAS_811_2022</w:t>
      </w:r>
    </w:p>
    <w:p>
      <w:r>
        <w:t>FR: GE_GERICHTE ATAS/811/2022 du 19 septembre 2022</w:t>
      </w:r>
    </w:p>
    <w:p>
      <w:r>
        <w:t>IT: GE_GERICHTE ATAS/811/2022 del 19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loi sur la procédure administrative du 12 septembre 1985 [LPA - E 5 10]).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w:t>
      </w:r>
    </w:p>
    <w:p>
      <w:r>
        <w:rPr>
          <w:b/>
        </w:rPr>
        <w:t>E. 3.1</w:t>
      </w:r>
    </w:p>
    <w:p>
      <w:r>
        <w:t>En l’occurrence, la décision sur opposition du 5 mai 2021 a été reçue le lendemain. Le délai de recours a donc commencé à courir le 7 mai 2021 et est arrivé à échéance le samedi 5 juin 2021, avec un report de son terme au lundi</w:t>
      </w:r>
    </w:p>
    <w:p>
      <w:r>
        <w:rPr>
          <w:b/>
        </w:rPr>
        <w:t>E. 3.2</w:t>
      </w:r>
    </w:p>
    <w:p>
      <w:r>
        <w:t>Interjeté dans la forme et le délai prévus par la loi, le présent recours est recevable. 4. Le litige porte sur le bien-fondé de la décision sur opposition du 5 mai 2021, par laquelle l’intimée a considéré que l’état de santé du recourant était stabilisé, a nié le droit de l’intéressé à une rente d'invalidité et a fixé à 30 % le taux de l’indemnité pour atteinte à l’intégrité, étant rappelé que le recourant ne conteste plus l’absence de relation de causalité entre ses troubles psychiques et le sinistre assuré. 5. Selon l’art. 6 al. 1 LAA, les prestations d’assurance sont allouées en cas d’accident professionnel, d’accident non professionnel et de maladie professionnelle.</w:t>
      </w:r>
    </w:p>
    <w:p>
      <w:r>
        <w:t>A/1995/2021 - 6/21 - Conformément à l’art. 4 LPGA, est réputé accident toute atteinte dommageable, soudaine et involontaire, portée au corps humain par une cause extérieure extraordinaire qui compromet la santé physique, mentale ou psychique ou qui entraîne la mort. 5.1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5.1.1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5.1.2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w:t>
      </w:r>
    </w:p>
    <w:p>
      <w:r>
        <w:t>A/1995/2021 - 7/21 -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 5.2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L’art. 6 LPGA précise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 au moins par suite d’un accident, il a droit à une rente d’invalidité, pour autant que l’accident soit survenu avant l’âge ordinaire de la retraite. Conformément à l’art. 8 al. 1 LPGA, est réputée invalidité l’incapacité de gain totale ou partielle qui est présumée permanente ou de longue durée.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5.2.1 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Le droit au traitement médical et aux indemnités journalières cesse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w:t>
      </w:r>
    </w:p>
    <w:p>
      <w:r>
        <w:t>A/1995/2021 - 8/21 -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5.2.2 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 5.3 Conformément à l’art. 16 LPGA, pour évaluer le taux d’invalidité, le revenu que l’assuré aurait pu obtenir s’il n’était pas invalide est comparé avec celui qu’il pourrait obtenir en exerçant l’activité qui peut raisonnablement être exigée de lui</w:t>
      </w:r>
    </w:p>
    <w:p>
      <w:r>
        <w:t>A/1995/2021 - 9/21 - après les traitements et les mesures de réadaptation, sur un marché du travail équilibré. 5.3.1 Chez les assurés actifs, le degré d'invalidité doit être évalué sur la base d'une comparaison des revenus.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ATF 130 V 343 consid. 3.4).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5.3.2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5.3.3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w:t>
      </w:r>
    </w:p>
    <w:p>
      <w:r>
        <w:t>A/1995/2021 - 10/21 -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 ATF 134 V 322 consid. 5.2 et les références). 5.4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5.4.1 L'indemnité pour atteinte à l'intégrité est une forme de réparation morale pour le préjudice immatériel (douleurs, souffrances, diminution de la joie de vivre, limitation des jouissances offertes par l'existence, etc.) subi par la personne</w:t>
      </w:r>
    </w:p>
    <w:p>
      <w:r>
        <w:t>A/1995/2021 - 11/21 -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5.4.2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5.4.3 La Division médicale de la SUVA a établi plusieurs tables d'indemnisation des atteintes à l'intégrité selon la LAA (disponibles sur www.suva.ch). Ces tables n'ont pas valeur de règles de droit et ne sauraient lier le juge. Toutefois, dans la</w:t>
      </w:r>
    </w:p>
    <w:p>
      <w:r>
        <w:t>A/1995/2021 - 12/21 - mesure où il s'agit de valeurs indicatives, destinées à assurer autant que faire se peut l'égalité de traitement entre les assurés, elles sont compatibles avec l'annexe 3 à l'OLAA (ATF 132 II 117 consid. 2.2.3 ; ATF 124 V 209 consid. 4.cc ; ATF 116 V 156 consid. 3).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A/1995/2021 - 13/21 -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8</w:t>
      </w:r>
    </w:p>
    <w:p>
      <w:r>
        <w:t>juillet 2016 consid. 5.1.2 ; 8C_670/2015 du 12 février 2016 consid. 4.3 ; 8C_939/2011 du 13 février 2012 consid. 4.3 ; 8C_819/2010 du 7 avril 2011 consid. 6.4.1 ; 8C_971/2008 du 23 mars 2009 consid. 3.3 ; 8C_810/2009 du 3 mars 2010 consid 2.6.4).</w:t>
      </w:r>
    </w:p>
    <w:p>
      <w:r>
        <w:rPr>
          <w:b/>
        </w:rPr>
        <w:t>E. 8.1</w:t>
      </w:r>
    </w:p>
    <w:p>
      <w:r>
        <w:t>La chambre de céans relève tout d’abord que les différentes appréciations du médecin d’arrondissement reposent sur l’étude du dossier médical complet du recourant, lequel a été ausculté personnellement les 25 septembre 2019, 16 janvier et 13 août 2020. Le Dr E______ a tenu compte des plaintes de l’intéressé et consigné de façon minutieuse les résultats de ses examens cliniques, avant de livrer son appréciation du cas, notamment quant à l’évolution et la stabilisation de l’état de santé, le traitement à poursuivre, les limitations fonctionnelles et l’évaluation de la capacité de travail, dans le métier habituel et dans une activité adaptée.</w:t>
      </w:r>
    </w:p>
    <w:p>
      <w:r>
        <w:rPr>
          <w:b/>
        </w:rPr>
        <w:t>E. 8.2</w:t>
      </w:r>
    </w:p>
    <w:p>
      <w:r>
        <w:t>S’agissant de l’évolution du SDRC, dont l’existence et le lien de causalité naturelle ont été admis par le Dr E______, il est rappelé que ce médecin avait constaté, dans son avis du 21 janvier 2020, une amélioration de l’état de santé de l’intéressé depuis son examen du mois de septembre 2019, et conclu que le cas n’était pas stabilisé sur le plan médical. Compte tenu des progrès réalisés, il avait alors préconisé une intensification de la rééducation qui était « un peu limite » avec une seule séance par semaine, afin de permettre une récupération, en particulier au niveau de l’épaule, et prévu un nouvel examen dans un délai de quatre mois. Le recourant lui ayant déclaré que son médecin généraliste lui faisait des prescriptions de rééducation « au compte-gouttes », le Dr E______ avait suggéré à celui-ci une « fluidité de prescription » avec un minimum de deux séances de physiothérapie par semaine, voire trois (cf. courrier du 16 janvier 2020 au Dr C______). Les séances de physiothérapie ont dû être interrompues en raison de l’épidémie de Coronavirus et ont pu reprendre le 12 mai 2020 (cf. rapport du 7 mai 2020 du Dr C______ et soumission au médecin-conseil du 15 juillet 2020), ce qui a justifié le report du nouvel examen au mois d’août 2020. À cette occasion, l’intéressé a notamment déclaré au Dr E______ qu’il suivait bien deux séances par semaine, qu’il n’avait plus de rendez-vous avec le Dr D______ et qu’il considérait que l’évolution stagnait « nettement ». Le médecin-conseil a constaté que ses examens de janvier et août 2020 étaient superposables, sans « progression objective » malgré la prolongation des activités rééducatives. Au niveau de l’épaule gauche, il a noté une légère récupération de l’amplitude, mais également une « discrépance » avec une régression de la force. Ainsi, aucun traitement, pas même la physiothérapie, n'avait pu objectivement améliorer l'état de santé de l’intéressé. Il a conclu que l'état devait désormais être considéré comme stabilisé.</w:t>
      </w:r>
    </w:p>
    <w:p>
      <w:r>
        <w:rPr>
          <w:b/>
        </w:rPr>
        <w:t>E. 8.2.1</w:t>
      </w:r>
    </w:p>
    <w:p>
      <w:r>
        <w:t>Les conclusions du Dr E______ concernant la stabilisation de l’état de santé n’apparaissent pas critiquables, puisque ses examens cliniques de janvier et août 2020 sont comparables, sans amélioration des troubles de la main, du poignet et du coude gauche. S’agissant de l’épaule gauche, seule une légère augmentation des amplitudes a pu être constatée, avec toutefois une diminution de la force.</w:t>
      </w:r>
    </w:p>
    <w:p>
      <w:r>
        <w:t>A/1995/2021 - 15/21 - Partant, la mise en place du seul traitement envisagé, soit l’intensification des séances de physiothérapie durant plusieurs mois, n’a pas engendré d’amélioration objective. Ni subjective d’ailleurs, l’intéressé ayant relaté une nette stagnation. À toutes fins utiles, il sera observé que les pièces médicales dont disposait l’intimée au moment déterminant ne faisaient pas non plus état d’une modification sensible du SDRC. En effet, si le Dr D______ a mentionné une « bonne évolution », il a également indiqué qu’on pouvait s’attendre à la persistance des douleurs chroniques et des raideurs (cf. rapport du 5 mars 2020), et répondu que l’évolution était « stable » (cf. rapport du 23 mars 2020). Quant au Dr C______, il a signalé qu’un dommage permanent était à envisager, sous la forme de douleurs persistantes et d’une diminution de la force (cf. rapport du 7 mai 2020). Enfin, le Dr F______ a lui aussi relevé des douleurs et un manque de force, même pour les travaux de manutentions légers (cf. rapport du 15 octobre 2020). Ces médecins, qui ont tous relaté les mêmes troubles sans progression, n’ont en outre suggéré aucune mesure susceptible d’entraîner une amélioration sensible des limitations résultant du SDRC.</w:t>
      </w:r>
    </w:p>
    <w:p>
      <w:r>
        <w:rPr>
          <w:b/>
        </w:rPr>
        <w:t>E. 8.2.2</w:t>
      </w:r>
    </w:p>
    <w:p>
      <w:r>
        <w:t>Dans le cadre de la présente procédure, le recourant a produit deux rapports du Dr F______, rendus après le prononcé de la décision litigieuse, mais qui concernent son état de santé depuis le mois d’août 2020, de sorte que ces documents peuvent être pris en considération. Dans son rapport du 6 juin 2021, le Dr F______ a remis en cause les conclusions du médecin d’arrondissement, affirmant que le cas n'était pas stabilisé et que l'évolution était mauvaise, ajoutant avoir constaté une péjoration de l'état fonctionnel du membre supérieur gauche depuis le mois d’août 2020, aussi bien en termes de fonctionnalité que de troubles douloureux. Il a résumé son examen clinique, exposé que son patient présentait des raideurs très significatives et incapacitantes de l'épaule au poignet. Il a en outre rappelé les conclusions de l’arthro-lRM de l'épaule du 26 février 2021, soit une arthropathie acromio-claviculaire marquée avec une bursite sous-acromiale deltoïdienne modérée et une minime déchirure partielle non transfixiante du sus-épineux devant faire suspecter un conflit antéro-supérieur, ainsi qu’un comblement du triangle graisseux sous-coracoïdien et une infiltration de l’intervalle de la coiffe des rotateurs devant faire suspecter une capsulite rétractile (cf. rapport d’IRM du 4 mars 2021). Le Dr F______ a considéré que les troubles trophiques, qui entraînaient des variations de la couleur et de chaleur de la peau, étonnamment encore présents après trois ans et demi de l'accident, apparaissaient de manière imprévisible. Ils étaient incapacitants pour le patient et diminuaient la force et réduisaient donc de manière significative toute activité, même minime du membre supérieur gauche. La main ne bénéficiait plus de la mobilité naturelle de l'épaule, le poignet était en position quasi clouée et ce qui était mobile, était douloureux. Quant au coude, l’intéressé avait conservé la fonctionnalité qui correspondait au maintien de la capacité de se toucher le visage, de porter à celui-ci un objet</w:t>
      </w:r>
    </w:p>
    <w:p>
      <w:r>
        <w:t>A/1995/2021 - 16/21 - d'usage usuel et nécessaire. Le membre supérieur gauche n'était dès lors utile que pour la fonction de préhension d'un objet inférieur à 500 g au visage ou au-dessous, et pour maintenir par pression et appui un objet sur une table. Dès lors, les limitations définies par le médecin-conseil en 2020 n'avaient plus cours. En l'état actuel, les restrictions comprenaient l’élévation et la préhension du membre supérieur gauche de plus de 500 g., le port de charges, l'élévation au-dessus de l'horizontale, le port en porte-à-faux, toute activité répétitive. La fonction des doigts était libre, celle du membre supérieur gauche de 20 %, avec un rendement de 50 % dans une activité adaptée, et l’atteinte à l’intégrité de 40 %. Le traitement devait être poursuivi et le patient être adressé à un centre de la douleur. Par rapport du 8 novembre 2021, le Dr F______ a confirmé que l'évolution était restée défavorable, « longtemps non-stabilisée » et avec des séquelles importantes, qui se traduisaient par une importante impotence fonctionnelle des trois articulations du membre supérieur gauche. Il a rappelé les limitations fonctionnelles de la mobilité, auxquelles s’ajoutaient des douleurs chroniques régionales exacerbées à la moindre tentative de mobilisation du poignet, des troubles trophiques récurrents à type de changement de couleur et d’apparition de paresthésies du membre supérieur gauche, douleurs et troubles qui péjoraient de manière marquée l'utilisation résiduelle du membre supérieur gauche dans toutes ses activités, et qui rythmaient chaque consultation depuis le mois de février 2018. Les limitations fonctionnelles consistaient en l’impossibilité de porter une charge supérieure à 500 g, de lever le membre supérieur gauche au-dessus de 80° de flexion, d'étendre le coude, de porter davantage que des ustensiles de cuisine, une brosse à dent ou un gant de toilette, et le poignet était en situation d'arthrodèse. À titre de fonctions résiduelles, le médecin a noté que le coude pouvait tenir un dossier contre le thorax, le poignet pouvait servir de presse-papier, et pour boire et manger, faire la toilette, l’habillage était possible, mais entravé, la main gardait une fonctionnalité des doigts pour les gestes fins et précis. Ces importantes limitations pouvaient s'aggraver, avoir un impact négatif sur la ceinture scapulaire et la colonne cervicale. Les troubles trophiques, que le patient évoquait constamment, ajoutaient encore au handicap. La stabilité du membre supérieur gauche n'était pas acquise. L'impotence du membre supérieur gauche était donc de 80 % et exclusivement liée à l'accident assuré. Entre ces deux rapports, le médecin d’arrondissement a procédé à un nouvel examen du recourant. Dans son appréciation du 19 août 2021, le Dr E______ a observé que la prise d'antalgiques était quasiment identique à celle qui prévalait au moment de son dernier examen en août 2020, et qu’il existait une discrète amyotrophie bicipitale. Les mobilités de l'épaule, du coude et du poignet gauche étaient globalement comparables, et la force était également équivalente, mais elle avait pu être testée de façon plus fine durant l’examen grâce à plusieurs exercices. Ces derniers avaient permis de retenir une élévation sans difficulté de poids de 800 g à 1 kg, ce qui permettait de confirmer les limitations fonctionnelles établies</w:t>
      </w:r>
    </w:p>
    <w:p>
      <w:r>
        <w:t>A/1995/2021 - 17/21 - précédemment. Ainsi, son nouvel examen clinique était extrêmement proche de celui d’août 2020, hormis l'aspect de l'épaule pouvant conditionner une certaine mal-utilisation ou hypo-utilisation du bras gauche, ainsi que de celui du Dr F______, ce qui attestait de la stabilisation de l'état de santé. Le conflit antéro- supérieur avec une progressive atteinte musculaire sous l'arthropathie acromio- claviculaire constituait une pathologie dégénérative qui ne pouvait être rattachée à l'événement accidentel du 4 octobre 2017, étant relevé que le rapport initial du Dr C______ ne concernait que le poignet et que le Dr F______ n’avait décrit aucune pathologie au niveau de l'épaule dans son rapport du 22 novembre 2017. De même, la capsulite rétractile n'avait pas d'influence sur la constitution de cette pathologie. En conclusion, s'il y avait péjoration de l'état de santé, celle-ci était en rapport avec la pathologie de l'épaule qui, au degré de la vraisemblance prépondérante, était sans lien avec l’accident assuré.</w:t>
      </w:r>
    </w:p>
    <w:p>
      <w:r>
        <w:rPr>
          <w:b/>
        </w:rPr>
        <w:t>E. 8.2.3</w:t>
      </w:r>
    </w:p>
    <w:p>
      <w:r>
        <w:t>La chambre de céans constate que l’aggravation fonctionnelle du membre supérieur gauche depuis le mois d’août 2020, évoquée par le Dr F______, n’est pas établie au degré de la vraisemblance prépondérante requis, puisque les constats objectifs du médecin traitant sont effectivement superposables à ceux de l’examen final du mois d’août 2020, ainsi qu’à ceux réalisés en cours de procédure. Les restrictions de mobilité et les douleurs aux niveaux de l’épaule, du coude, du poignet et de la main gauche ont bien été prises en considération par le médecin d’arrondissement, qui a conclu à d’importantes limitations fonctionnelles, bien plus importantes que celles énoncées à titre provisoire à la CRR, et qui rejoignent pour l’essentiel celles du Dr F______. En août 2020, le Dr E______ avait retenu que le membre supérieur gauche était « peu utilisable », que les restrictions comprenaient l’élévation et la préhension de tout objet supérieur à 1 kg avec le membre supérieur gauche, l'élévation du membre supérieur gauche vers l'horizontale, fréquente et pour des charges supérieures à 500 g, sans porte-à-faux. L'utilisation distale fine des doigts était possible une fois le membre supérieur calé. En août 2021, suite à un nouvel examen médical approfondi, le médecin d’arrondissement a confirmé ces restrictions, grâce à plusieurs épreuves réalisées durant sa consultation. L’appréciation du Dr F______, faisant état d’une limite à 500 g pour la préhension ou l’élévation avec le membre supérieur gauche, est ainsi contredite par les tests concrets du Dr E______, lequel a observé une élévation sans difficulté de poids de 800 g à 1 kg. On relèvera encore que le Dr F______ n’a pas expliqué en quoi les variations de couleur ou de chaleur de la peau seraient propres à entraîner des restrictions supplémentaires à celles déjà retenues par le médecin-conseil. De plus, on peut déduire du rapport du 8 novembre 2021 que le médecin traitant n’a pas lui-même constaté des changements trophiques et des asymétries de température ou de couleur, mais que ces symptômes ont seulement été rapportés par le patient. Or, si le Dr E______ avait constaté une très légère différence de température en 2019</w:t>
      </w:r>
    </w:p>
    <w:p>
      <w:r>
        <w:t>A/1995/2021 - 18/21 - (cf. rapport du 25 septembre 2019), puis une discrète modification de coloration en janvier 2020 (cf. rapport du 21 janvier 2020), il n’a plus observé de modification de coloration, de température, de sudation ou de pilosité des membres supérieurs, que ce soit en août 2020 ou en août 2021 (cf. rapports des 18 août 2020 et 19 août 2021). Enfin, le Dr F______ n’a suggéré aucun traitement médical susceptible d’entraîner une amélioration notable de l’état de santé de son patient. En ce qui concerne la simple proposition d’adresser le recourant à un centre de la douleur, il sied de relever qu’elle avait déjà été émise de longue date (cf. rapports des 27 novembre 2019 et 23 mars 2020 du Dr D______), sans que l’intéressé ne semble y avoir donné suite. Pour le surplus, le Dr E______ a expliqué de façon claire et convaincante les motifs pour lesquels l’atteinte dégénérative mise en évidence en mars 2021 n’était pas en relation de causalité naturelle avec l’accident du 4 octobre 2017, au cours duquel seul le poignet avait été lésé. L’argumentation du médecin-conseil n’a d’ailleurs pas été critiquée ou remise en cause par le Dr F______.</w:t>
      </w:r>
    </w:p>
    <w:p>
      <w:r>
        <w:rPr>
          <w:b/>
        </w:rPr>
        <w:t>E. 8.2.4</w:t>
      </w:r>
    </w:p>
    <w:p>
      <w:r>
        <w:t>Partant, force est de constater que les rapports du Dr F______ ne contiennent aucun élément concret permettant de douter des conclusions du Dr E______, dûment motivées et convaincantes. Eu égard à tout ce qui précède, la chambre de céans considère, sur la base des appréciations du Dr E______ qui remplissent les réquisits jurisprudentiels pour se voir reconnaître une pleine valeur probante, que l’état de santé du recourant était stabilisé au mois d’août 2020 et que l’intimée était donc fondée à mettre un terme au paiement des soins médicaux et de l'indemnité journalière au 31 décembre 2020.</w:t>
      </w:r>
    </w:p>
    <w:p>
      <w:r>
        <w:rPr>
          <w:b/>
        </w:rPr>
        <w:t>E. 8.3</w:t>
      </w:r>
    </w:p>
    <w:p>
      <w:r>
        <w:t>S’agissant du droit à la rente, le recourant ne fait valoir aucun grief à l’encontre du calcul opéré par l’intimée. Il se contente de contester l’entière capacité de travail résiduelle retenue par le Dr E______ et se prévaut de l’appréciation de son médecin traitant, lequel a évoqué « un rendement de 50 % » dans une activité adaptée.</w:t>
      </w:r>
    </w:p>
    <w:p>
      <w:r>
        <w:rPr>
          <w:b/>
        </w:rPr>
        <w:t>E. 8.3.1</w:t>
      </w:r>
    </w:p>
    <w:p>
      <w:r>
        <w:t>La chambre de céans constate cependant que le Dr F______ n’a avancé aucune explication médicale pouvant étayer une perte de rendement de 50 %. Elle rappelle que si le recourant, droitier, est très limité dans l’utilisation du membre supérieur gauche, il ne présente aucune autre restriction, notamment du membre supérieur dominant, des membres inférieurs, ou encore du rachis. Il conserve en outre l’usage de ses doigts et peut se servir de son membre supérieur gauche pour maintenir par pression et appui un objet contre son torse ou sur une table, par exemple. Partant, elle considère que la diminution de rendement alléguée par le recourant sur la base d’un avis, succinct, dénué de toute motivation et émanant de son médecin traitant, n’est pas établie. Elle renoncera, par appréciation anticipée des</w:t>
      </w:r>
    </w:p>
    <w:p>
      <w:r>
        <w:t>A/1995/2021 - 19/21 - preuves, aux mesures d’instruction sollicitées par l’intéressé. En effet, vu la nature des atteintes somatiques et le contenu des nombreux rapports médicaux figurant au dossier, il apparaît clairement que le recourant n’est nullement restreint, pour des raisons de santé, dans sa capacité à exercer une activité légère de type mono-manuel à plein temps et sans diminution de rendement. À toutes fins utiles, il sera encore souligné que, selon la jurisprudence, il existe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(arrêts du Tribunal fédéral 8C_134/2020 du 29 avril 2020 consid. 4.5 ; 9C_124/2019 du 28 mai 2019 consid. 3.2 ; 8C_811/2018 du 10 avril 2019 consid. 4.4.2 ; 8C_227/2018 du 14 juin 2018 consid. 4.2.1 ; 8C_37/2016 du</w:t>
      </w:r>
    </w:p>
    <w:p>
      <w:r>
        <w:rPr>
          <w:b/>
        </w:rPr>
        <w:t>E. 8.3.2</w:t>
      </w:r>
    </w:p>
    <w:p>
      <w:r>
        <w:t>Pour le surplus, la chambre de céans ne relève aucun motif justifiant de s’écarter du calcul du 24 décembre 2020, lequel n’est pas critiquable. En effet, l’intimée s’est fondée sur les informations communiquées par l’employeur pour déterminer le salaire de valide, auquel elle a ajouté, au profit du recourant, un deux-tiers de gain mensuel à titre de 13ème salaire. Elle a ainsi tenu compte d’un montant de CHF 57'000.-. Quant au gain d’invalide, elle s’est référée à bon droit aux ESS 2018, TA1_tirage_sill_level, ligne total, homme, niveau de compétences 1 correspondant à des tâches physiques ou manuelles simples et ne nécessitant aucune formation particulière. Ce revenu a ensuite été ajusté en fonction de la moyenne des heures travaillées en Suisse et de l’indexation des salaires nominaux, de sorte que le salaire d’invalide s’élevait à CHF 69'265.47. Enfin, un abattement de 15 % a été appliqué pour tenir compte des limitations fonctionnelles, de sorte que le gain d’invalide a été arrêté à CHF 58'875.65. En toute hypothèse, la chambre de céans observe que, même en retenant l’abattement maximum de 25 %, le revenu d’invalide s’élèverait à CHF 51'949.10 et le taux d’invalidité à 8.86 %. Il demeurerait donc inférieur aux 10 % nécessaires à l’ouverture du droit à une rente.</w:t>
      </w:r>
    </w:p>
    <w:p>
      <w:r>
        <w:rPr>
          <w:b/>
        </w:rPr>
        <w:t>E. 8.3.3</w:t>
      </w:r>
    </w:p>
    <w:p>
      <w:r>
        <w:t>Partant, c’est à bon droit que l’intimée a nié le droit du recourant à une rente d’invalidité.</w:t>
      </w:r>
    </w:p>
    <w:p>
      <w:r>
        <w:rPr>
          <w:b/>
        </w:rPr>
        <w:t>E. 8.4</w:t>
      </w:r>
    </w:p>
    <w:p>
      <w:r>
        <w:t>Enfin, s’agissant de l’indemnité pour atteinte à l’intégrité, le Dr E______ s’est référé aux tables de la SUVA et a tenu compte d’une épaule mobile jusqu’à l’horizontale (15 %), d’un coude avec un simple flexum fonctionnel (5 %), et d’un</w:t>
      </w:r>
    </w:p>
    <w:p>
      <w:r>
        <w:t>A/1995/2021 - 20/21 - poignet dont le blocage équivalait à une arthrodèse radio-carpienne (15 %), tout en précisant que l’ensemble ne saurait dépasser l’équivalent d’une paralysie du plexus brachial de type supérieur, soit 30 %.</w:t>
      </w:r>
    </w:p>
    <w:p>
      <w:r>
        <w:rPr>
          <w:b/>
        </w:rPr>
        <w:t>E. 8.4.1</w:t>
      </w:r>
    </w:p>
    <w:p>
      <w:r>
        <w:t>Le Dr F______ a pour sa part estimé que le taux de l’indemnité devait être fixé à 40 %. Il n’a cependant émis aucun argument à l’encontre de l’appréciation du médecin d’arrondissement.</w:t>
      </w:r>
    </w:p>
    <w:p>
      <w:r>
        <w:rPr>
          <w:b/>
        </w:rPr>
        <w:t>E. 8.4.2</w:t>
      </w:r>
    </w:p>
    <w:p>
      <w:r>
        <w:t>En l'absence de tout élément médical susceptible de mettre en doute l'évaluation claire et convaincante du taux de l’indemnité pour atteinte à l’intégrité retenue par le Dr E______ dans son avis du 18 août 2020, il n'y a pas lieu de revoir à la hausse le taux de 30 % reconnu.</w:t>
      </w:r>
    </w:p>
    <w:p>
      <w:r>
        <w:rPr>
          <w:b/>
        </w:rPr>
        <w:t>E. 8.4.3</w:t>
      </w:r>
    </w:p>
    <w:p>
      <w:r>
        <w:t>Par conséquent, la décision litigieuse peut être confirmée sur ce point également.</w:t>
      </w:r>
    </w:p>
    <w:p>
      <w:r>
        <w:rPr>
          <w:b/>
        </w:rPr>
        <w:t>E. 9</w:t>
      </w:r>
    </w:p>
    <w:p>
      <w:r>
        <w:t>Au vu de ce qui précède, le recours est rejeté. Le recourant, vu l’issue, ne peut prétendre à une indemnité à titre de dépens (art. 61 let. g LPGA a contrario). L'intimée a conclu à l'octroi de dépens. Les assureurs sociaux n'ont toutefois pas droit à des dépens (art. 61 let. g LPGA a contrario), de sorte qu'il ne lui en sera pas alloués. Pour le surplus, la procédure est gratuite (art. 61 let. a LPGA). * * * * * *</w:t>
      </w:r>
    </w:p>
    <w:p>
      <w:r>
        <w:t>A/1995/2021 - 21/21 -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