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ATAS/810/2019 vom 10. September 2019</w:t>
      </w:r>
    </w:p>
    <w:p>
      <w:r>
        <w:t>GE Cour de justice, 2019-09-10, FR</w:t>
      </w:r>
    </w:p>
    <w:p>
      <w:r>
        <w:rPr>
          <w:b/>
        </w:rPr>
        <w:t xml:space="preserve">Quelle: </w:t>
      </w:r>
      <w:r>
        <w:t>https://mcp.opencaselaw.ch/entscheid/ge_gerichte_ATAS_810_2019</w:t>
      </w:r>
    </w:p>
    <w:p>
      <w:r>
        <w:t>FR: GE_GERICHTE ATAS/810/2019 du 10 septembre 2019</w:t>
      </w:r>
    </w:p>
    <w:p>
      <w:r>
        <w:t>IT: GE_GERICHTE ATAS/810/2019 del 10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A titre liminaire, il y a lieu de rappeler l’objet du litige. Entre avril 2004 et octobre 2010, la recourante a formellement déposé trois demandes de prestations d’invalidité, toutes rejetées par l’OAI, la dernière en date du 4 juin 2012. Suite au recours de l’assurée, la chambre de céans avait, par arrêt du 20 novembre 2012, confirmé la décision du 4 juin 2012, tout en renvoyant la cause à l’OAI, à sa demande, pour examen des mesures de réadaptation professionnelle. En raison des interventions chirurgicales, l’OAI a considéré que des mesures d’ordre professionnel n’étaient pas adaptées (cf. rapport de réadaptation professionnelle du 26 juillet 2013) et a repris l’instruction sur le plan médical. En d’autres termes, en juillet 2013, l’OAI a considéré que la recourante avait implicitement formé une nouvelle demande en raison d’une aggravation de son état de santé. Dans la mesure où l’intimé ne s’est pas contenté de rassembler des rapports des médecins traitants, mais qu’il a également suggéré la réalisation d’une expertise, confiée au Dr E______, il doit être considéré que l’OAI est entré en matière sur la nouvelle demande de la recourante. Se fondant sur le rapport du Dr E______, l’OAI a rejeté la demande de prestations. Par arrêt du 17 avril 2018, la chambre de céans a considéré que l’expertise du médecin précité n’était pas probante et a renvoyé la cause à l’office intimé pour instruction complémentaire. L’intimé a alors confié au Dr F______ le soin de procéder à une nouvelle expertise</w:t>
      </w:r>
    </w:p>
    <w:p>
      <w:r>
        <w:t>A/966/2019 - 9/18 - de la recourante. Sur la base du rapport établi le 27 août 2018 par le médecin précité, l’OAI a, une nouvelle fois, rejeté la demande de prestations, par décision du</w:t>
      </w:r>
    </w:p>
    <w:p>
      <w:r>
        <w:rPr>
          <w:b/>
        </w:rPr>
        <w:t>E. 4</w:t>
      </w:r>
    </w:p>
    <w:p>
      <w:r>
        <w:t>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t>A/966/2019 - 10/18 -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 Ulrich MEYER-BLASER, Bundesgesetz über die Invalidenversicherung, 1997, p. 8).</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A/966/2019 - 11/18 -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b/aa.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t>A/966/2019 - 12/18 -</w:t>
      </w:r>
    </w:p>
    <w:p>
      <w:r>
        <w:rPr>
          <w:b/>
        </w:rPr>
        <w:t>E. 7</w:t>
      </w:r>
    </w:p>
    <w:p>
      <w:r>
        <w:t>a. La procédure dans le domaine des assurances sociales est régie par le principe inquisitoire d'après lequel les faits pertinents de la cause doivent être constatés d'office par l'assureur (art. 43 al. 1 LPGA) ou, éventuellement, par le juge (art. 61 let. c LPGA).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l’espèce, à l’issue de l’instruction de la troisième demande de prestations, l’intimé a refusé de mettre la recourante au bénéfice d’une rente d’invalidité, au motif que le degré d’invalidité était insuffisant. Cette décision, confirmée sur recours par la chambre de céans, se fondait sur le rapport établi le 9 novembre 2011 par les Drs B______ et C______, médecins auprès du SMR. Selon le rapport précité, les diagnostics étaient les suivants : omalgies bilatérales chroniques sur pathologie dégénérative de la coiffe des rotateurs bilatérale, status après réinsertion de la coiffe et acromioplastie de l'épaule droite en 2006, status après réinsertion de la coiffe des rotateurs et acromioplastie gauche en 2010 ; lombalgies mécaniques dans un contexte de troubles dégénératifs mineurs débutants (avec répercussion sur la capacité de travail) et de trouble dépressif récurrent, épisode actuel moyen sans syndrome somatique, majoration de symptômes physiques pour des raisons psychologiques, surcharge pondérale avec obésité de classe 1, BMI à 34 et déconditionnement musculaire global et focal avec dysbalance et un genu vara bilatéral (sans répercussion sur la capacité de travail). En raison de ces atteintes, les médecins du SMR avaient retenu les limitations fonctionnelles suivantes : pas de port de charges supérieures à 2,5 kg de façon répétitive au niveau des membres supérieurs et occasionnellement au-delà de 7,5 kg, pas d’activité en antépulsion ou en abduction au-delà de 60° de manière répétitive et occasionnelle au-delà de 90°, pas de positions statiques assises prolongées au-delà d’une heure sans possibilité de varier les positions au minimum une fois par heure, de préférence à la guise de l’assurée, pas de position en porte-à- faux ou en antéflexion du rachis contre résistance, pas d’activité en hauteur ni en terrain instable, pas d’exposition à des températures froides ou à l’humidité. Compte tenu de ces limitations, les médecins du SMR avaient estimé que la capacité de travail était de 50% dans l’activité habituelle et de 100% dans une activité adaptée aux limitations susmentionnées.</w:t>
      </w:r>
    </w:p>
    <w:p>
      <w:r>
        <w:t>A/966/2019 - 13/18 - a/bb. En raison de la procédure antérieure, la recourante savait ainsi qu’un changement d’activité était attendu de sa part. Dans le contexte de la quatrième demande, implicitement formulée en 2013, l’OAI devait donc examiner si un changement de circonstances important, susceptible d’influencer le degré d’invalidité évalué précédemment, s’était produit depuis 2012. C’est pourquoi, l’intimé a, dans un premier temps, mandaté le Dr E______, dont les conclusions n’ont pas été considérées comme probantes par la chambre de céans. Suite au renvoi, l’intimé a mandaté le Dr F______, pour expertise. C’est sur la base de son rapport, dont la valeur probante n’a pas été remise en question par la recourante, que l’OAI a rejeté la demande de prestations. Dans son rapport du 27 août 2018, le Dr F______ a retenu les diagnostics de status après deux interventions sur la coiffe des rotateurs de l’épaule gauche avec un résultat fonctionnel moyen, status après intervention sur la coiffe des rotateurs de l’épaule droite avec un bon résultat final, status de gonarthrose interne droite moyenne confirmée sur le cliché récent sans progression nette depuis le cliché précédent de 2015, lombalgies intermittentes (avec répercussion sur la capacité de travail) et de surcharge pondérale ainsi que discopathie cervicale mise en évidence sur une IRM, sans traduction clinique actuellement (sans répercussion sur la capacité de travail). Ces atteintes entraînaient les limitations fonctionnelles suivantes : pas de port de charges supérieures à 2,5 kg de manière ponctuelle au niveau des membres supérieurs, pas de positions statiques assises prolongées au-delà d’une heure sans possibilité de varier les positions, pas de rotation du tronc ou de mouvement d’antéflexion du rachis, pas d’activité en position agenouillée ou accroupie compte tenu des gonalgies, sans devoir monter sur une échelle, pas de déplacements répétés dans les escaliers, pas de mouvements de rotation du tronc, ne pas se baisser de façon répétée avec un port de charge global limité à 5kg, pas d’exposition à des températures froides ou à l’humidité. Compte tenu de ces limitations, le Dr F______ a évoqué une capacité de travail de 50% dans l’activité habituelle et de 100% dans une activité adaptée. a/cc. Il ressort de ce qui précède que l’état de santé de la recourante s’est modifié entre la troisième et la quatrième demande : il s’est en effet amélioré s’agissant des atteintes aux épaules mais s’est aggravé au niveau des membres inférieurs avec l’apparition de gonalgies, lesquelles ont entraîné des limitations fonctionnelles supplémentaires à ce niveau. Cette aggravation n’a toutefois pas entraîné de modification de la capacité de travail laquelle s’élève toujours à 50% dans l’activité habituelle et à 100% dans l’activité adaptée. L’aggravation au niveau des membres inférieurs a, en quelque sorte, été compensée, s’agissant de la capacité de travail, par l’amélioration au niveau des membres supérieurs. En revanche, les limitations fonctionnelles supplémentaires au niveau des membres inférieurs restreignent désormais encore plus la palette d’activités adaptées exigibles.</w:t>
      </w:r>
    </w:p>
    <w:p>
      <w:r>
        <w:t>A/966/2019 - 14/18 - b. La recourante ne remet pas en question la capacité de travail ainsi retenue sur le plan orthopédique mais conclut à la mise en place d’une expertise neuropsychiatrique, laquelle devrait permettre « de cerner les possibilités ‘d’activités adéquates’ ouvertes ». Force est toutefois de constater que dans le contexte de la quatrième demande, le Dr D______ ne pose aucun diagnostic psychiatrique. Si dans son rapport du 22 décembre 2014, il a formellement évoqué le diagnostic de trouble dépressif récurrent (F32.10), expliquant que celui-ci était surtout secondaire à l’atteinte orthopédique/rhumatologique, il n’a mentionné ni limitations fonctionnelles ni incapacité de travail, renvoyant à chaque fois au médecin spécialisé en orthopédie/rhumatologie. Il en va de même de ses considérations du 5 mai 2017, dans le cadre desquelles il évoque un trouble anxio-dépressif qui, associé à l’hypertension, au pré-diabète et à la dyslipidémie, avait une incidence négative sur les capacités cognitives de la recourante, ce qui avait été confirmé par le MMS. A nouveau, il ne retient ni véritablement des limitations fonctionnelles ni une incapacité de travail. Dans son rapport du 9 août 2017, ce médecin considère qu’il n’y a pas de dépression sans angoisse ni d’angoisse sans dépression. A nouveau, le Dr D______ ne retient ni limitations fonctionnelles ni incapacité de travail. Le 21 janvier 2019, il déclare que « c’était clair dans [son] courrier qu’il n’y avait pas de dépression ». Il précise qu’un tel examen était le seul permettant de bien trouver « l’activité adéquate ». Dans son rapport du 23 mars 2019, il explique surtout les notions de mémoire et ne se prononce à aucun moment sur les troubles neuropsychiques dont souffrirait la recourante. En l’absence de diagnostic sur le plan psychique et de descriptions des limitations fonctionnelles, un complément d’expertise sur le plan neuropsychique n’apparaît pas nécessaire, ce d’autant moins qu’il ne servirait qu’à préciser la nature de l’activité adéquate exigible. Or, comme cela ressort des considérations qui suivent, le degré d’invalidité devra quoi qu’il en soit être déterminé en fonction de la capacité de travail dans l’activité habituelle et non dans l’activité adéquate.</w:t>
      </w:r>
    </w:p>
    <w:p>
      <w:r>
        <w:rPr>
          <w:b/>
        </w:rPr>
        <w:t>E. 9</w:t>
      </w:r>
    </w:p>
    <w:p>
      <w:r>
        <w:t>A plusieurs reprises, la recourante a évoqué son âge.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w:t>
      </w:r>
    </w:p>
    <w:p>
      <w:r>
        <w:t>A/966/2019 - 15/18 -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p. 459 s. et les références). Selon le Tribunal fédéral, un âge proche de 60 ans peut être considéré comme un seuil à partir duquel on peut parler d'âge avancé (arrêt du Tribunal fédéral 9C_612/2007 du 14 juillet 2008 consid. 5.2).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p. 461 s.; voir aussi JACQUES-ANDRÉ SCHNEIDER, L'âge et ses limites en matière d'assurance-invalidité, de chômage et de prévoyance professionnelle étendue, in Grenzfälle in der Sozialversicherung, 2015, p. 5).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b. Lorsqu'avec une nouvelle demande, l'assuré rend vraisemblable une modification des circonstances déterminantes pour fonder le droit à une rente, sa situation doit faire l'objet d'un nouvel examen complet du point de vue des faits et du droit. L'âge de l'assuré au moment de la nouvelle demande, respectivement au moment où l'exigibilité de l'exercice d'une activité lucrative (à temps partiel) est établie de manière fiable, constitue une circonstance parmi d'autres qui doit être appréciée, dans les limites rappelées ci-avant lors du réexamen de la situation (arrêt du Tribunal fédéral 9C_899/2015 du 4 mars 2016 consid. 4.3.2). Cela étant, lors d'une nouvelle demande ou d'une révision du droit aux prestations, il s'agit d'examiner si un changement de circonstances important susceptible d'influencer le taux d'invalidité évalué antérieurement s'est produit. Dans cette constellation, l'assuré sait en raison de la procédure antérieure qu'un changement d'activité est attendu de sa part, conformément aux règles régissant l'assurance-invalidité. En conséquence,</w:t>
      </w:r>
    </w:p>
    <w:p>
      <w:r>
        <w:t>A/966/2019 - 16/18 - si la seule modification réside dans l'écoulement du temps et, partant, a trait à « l'âge avancé » de l'assuré, ce facteur en soi ne peut entraîner l'application de la jurisprudence rendue à ce sujet et publiée in ATF 138 V 457 consid. 3.1. Admettre le contraire reviendrait à faire prendre en charge par l'assurance-invalidité les répercussions économiques de l'écoulement du temps pour les assurés auxquels le droit à une rente (ou à une rente plus élevée) a été nié une première fois, à la seule condition qu'ils présentent une nouvelle demande ou une demande de révision au moment où ils se trouvent proches de l'âge donnant le droit à la rente de vieillesse (arrêt du Tribunal fédéral 9C_899/2015 du 4 mars 2016 consid. 4.3.3 et les références).</w:t>
      </w:r>
    </w:p>
    <w:p>
      <w:r>
        <w:rPr>
          <w:b/>
        </w:rPr>
        <w:t>E. 10</w:t>
      </w:r>
    </w:p>
    <w:p>
      <w:r>
        <w:t>En l’espèce, force est de constater que l’intimé a considéré que la recourante avait rendu vraisemblable une modification des circonstances déterminantes pour fonder le droit à une rente, raison pour laquelle sa situation a fait l’objet d’un examen complet des faits et du droit, avec notamment la réalisation d’une première expertise de chirurgie orthopédique, confiée au Dr E______. Sur recours, la chambre de céans a considéré cette expertise comme étant non probante et a renvoyé la cause à l’intimé pour instruction complémentaire. L’OAI a ainsi mandaté le Dr F______, pour expertise. Conformément à la jurisprudence en la matière, c’est bien l’âge de la recourante au moment où les observations du Dr F______ ont, le 27 août 2018, permis de confirmer l’exigibilité d’une activité adaptée, à plein temps, dans le cadre de l’instruction relative à la nouvelle demande, qui est déterminant. Or, à cette date, la recourante était âgée de 62 ans, ce qui est considéré, selon la jurisprudence, comme étant un âge avancé. Pour que la recourante puisse se prévaloir de son âge pour fonder le droit à une rente d’invalidité, son état de santé doit avoir connu une évolution significative depuis le moment où le droit à la rente a été nié la dernière fois, en 2012. Or, comme cela a été relevé précédemment, force est de constater que son état de santé s’est modifié avec, d’une part, une amélioration des atteintes aux épaules et, d’autre part, l’apparition de gonalgies suffisamment incapacitantes pour nécessiter des limitations fonctionnelles, telles que les positions accroupies ou agenouillée. Certes, cette atteinte supplémentaire n’a pas, selon le Dr F______, de conséquences sur la capacité de travail en tant que telle, l’aggravation au niveau des membres inférieurs était en quelque sorte compensée par l’amélioration au niveau des membres supérieurs. Elle a toutefois des répercussions sur la nature de l’activité adaptée encore exigible, laquelle doit désormais épargner non seulement les membres supérieurs mais désormais également les genoux (pas d’activités en position agenouillée ou accroupie, pas de déplacements répétés dans les escaliers). Ainsi, même si la recourante avait changé d’activité suite à l’arrêt du 20 novembre 2012, un nouveau changement d’activité aurait pu être rendu nécessaire compte tenu des limitations fonctionnelles nécessitées par l’atteinte aux genoux.</w:t>
      </w:r>
    </w:p>
    <w:p>
      <w:r>
        <w:t>A/966/2019 - 17/18 - Partant, la recourante peut invoquer son âge compte tenu d’une nouvelle restriction de la palette d’activités encore exigibles. Or, en 2018, la recourante était âgée de 62 ans, ce qui constitue un âge avancé au sens de la jurisprudence. On peine donc à imaginer qu'un employeur eût consenti à l’engager, eu égard à l'âge de celle-ci, à ses limitations fonctionnelles et au temps nécessaire qu'il aurait fallu consacrer pour dispenser un minimum de formation pour un emploi d'emblée limité dans le temps, de deux ans environ. En conséquence, le degré d'invalidité doit être déterminé en fonction de la capacité de travail résiduelle dans l'activité habituelle exercée par la recourante avant la survenance de son atteinte à la santé (arrêt du Tribunal fédéral 9C_913/2012 du 9 avril 2013 consid. 5.3 et 5.4). Or, selon l’expertise du Dr F______ du 27 août 2018, la capacité de travail de la recourante dans les activités habituelles est de 50%, ce qui ouvre le droit à une demi-rente d’invalidité</w:t>
      </w:r>
    </w:p>
    <w:p>
      <w:r>
        <w:rPr>
          <w:b/>
        </w:rPr>
        <w:t>E. 11</w:t>
      </w:r>
    </w:p>
    <w:p>
      <w:r>
        <w:t>Au vu de ce qui précède, le recours sera admis et la décision du 4 février 2019 sera annulée. La recourante sera mise au bénéfice d’une demi-rente dès le mois de janvier 2014. La recourante obtenant partiellement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A/966/2019 - 18/18 -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