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ATAS/810/2018 vom 24. April 2018</w:t>
      </w:r>
    </w:p>
    <w:p>
      <w:r>
        <w:t>GE Cour de justice, 2018-04-24, FR</w:t>
      </w:r>
    </w:p>
    <w:p>
      <w:r>
        <w:rPr>
          <w:b/>
        </w:rPr>
        <w:t xml:space="preserve">Quelle: </w:t>
      </w:r>
      <w:r>
        <w:t>https://mcp.opencaselaw.ch/entscheid/ge_gerichte_ATAS_810_2018</w:t>
      </w:r>
    </w:p>
    <w:p>
      <w:r>
        <w:t>FR: GE_GERICHTE ATAS/810/2018 du 24 avril 2018</w:t>
      </w:r>
    </w:p>
    <w:p>
      <w:r>
        <w:t>IT: GE_GERICHTE ATAS/810/2018 del 24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5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832.20). Sa compétence pour juger du cas d’espèce est ainsi établie.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questions.</w:t>
      </w:r>
    </w:p>
    <w:p>
      <w:r>
        <w:t>A/1767/2018 - 4/5 -</w:t>
      </w:r>
    </w:p>
    <w:p>
      <w:r>
        <w:rPr>
          <w:b/>
        </w:rPr>
        <w:t>E. 3</w:t>
      </w:r>
    </w:p>
    <w:p>
      <w:r>
        <w:t>En l’espèce, l’existence d’une couverture d’assurance LAA en faveur du recourant dépend de la question préalable de l’existence d’un contrat de travail entre l’employeur et le recourant dès le 7 juillet 2017. Le recourant ayant saisi la juridiction des prud’hommes afin d’obtenir, notamment, le versement de son salaire afférent au 7 juillet 2017, cette question préalable sera traitée par la juridiction des prud’hommes. Il se justifie en conséquence de suspendre la présente cause jusqu’à droit connu dans la procédure prud’homale.</w:t>
      </w:r>
    </w:p>
    <w:p>
      <w:r>
        <w:t>A/1767/2018 - 5/5 -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