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ATAS/810/2011 vom 1. September 2011</w:t>
      </w:r>
    </w:p>
    <w:p>
      <w:r>
        <w:t>GE Cour de justice, 2011-09-01, FR</w:t>
      </w:r>
    </w:p>
    <w:p>
      <w:r>
        <w:rPr>
          <w:b/>
        </w:rPr>
        <w:t xml:space="preserve">Quelle: </w:t>
      </w:r>
      <w:r>
        <w:t>https://mcp.opencaselaw.ch/entscheid/ge_gerichte_ATAS_810_2011</w:t>
      </w:r>
    </w:p>
    <w:p>
      <w:r>
        <w:t>FR: GE_GERICHTE ATAS/810/2011 du 1 septembre 2011</w:t>
      </w:r>
    </w:p>
    <w:p>
      <w:r>
        <w:t>IT: GE_GERICHTE ATAS/810/2011 del 1 settembre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et transmis à la juridiction compétente, le recours est recevable (art. 56V al. 1 let. a ch. 8 LOJ et 60 LPGA).</w:t>
      </w:r>
    </w:p>
    <w:p>
      <w:r>
        <w:rPr>
          <w:b/>
        </w:rPr>
        <w:t>E. 3</w:t>
      </w:r>
    </w:p>
    <w:p>
      <w:r>
        <w:t>Le litige porte sur le bien-fondé et la durée de la sanction infligée au recourant pour avoir fait défaut à l’entretien de conseil du 15 mars 2011.</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w:t>
      </w:r>
    </w:p>
    <w:p>
      <w:r>
        <w:rPr>
          <w:b/>
        </w:rPr>
        <w:t>E. 5</w:t>
      </w:r>
    </w:p>
    <w:p>
      <w:r>
        <w:t>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w:t>
      </w:r>
    </w:p>
    <w:p>
      <w:r>
        <w:rPr>
          <w:b/>
        </w:rPr>
        <w:t>E. 6</w:t>
      </w:r>
    </w:p>
    <w:p>
      <w:r>
        <w:t>Selon l’art. 30 al. 3 LACI, la durée de la suspension est proportionnelle à la gravité de la faute ; qu’ainsi, en cas de faute légère, la durée de la suspension est de un à quinze jours (a), en cas de faute de gravité moyenne, de seize à trente jours (b) et en cas de faute grave, de trente-et-un à soixante jours (d) (cf. art. 45 al. 2 OACI). Selon le barème établi par le Secrétariat d’État à l’Économie (SECO), lorsque l’assuré ne se présente pas à un entretien de conseil ou à une séance d’information, sans aucun motif valable, la sanction se situe entre cinq et huit jours s’il s’agit du premier manquement, entre neuf et quinze jours lors du second manquement.</w:t>
      </w:r>
    </w:p>
    <w:p>
      <w:r>
        <w:t>A/1363/2011 - 5/6 -</w:t>
      </w:r>
    </w:p>
    <w:p>
      <w:r>
        <w:rPr>
          <w:b/>
        </w:rPr>
        <w:t>E. 7</w:t>
      </w:r>
    </w:p>
    <w:p>
      <w:r>
        <w:t>En l’espèce, force est de constater que le recourant est dans l’incapacité de justifier son absence à l’entretien conseil du 15 mars 2011. On relèvera qu’il a d’abord prétendu être dans l’incapacité de travailler ce jour-là puis n’avoir jamais reçu la convocation qui lui a pourtant été adressée. Ses allégations selon lesquelles il se serait excusé le jour même auprès de son conseiller n’ont pu être étayées. Au contraire, aucune trace du moindre entretien téléphonique n’a été retrouvée dans les fichiers informatiques de l’Office alors même que le conseiller a précisé qu’il prenait note de tout entretien avec ses assurés. Enfin, les certificats médicaux produits ne sauraient se voir reconnaitre la moindre valeur probante dans la mesure où ni le Dr M___________ ni le Dr N___________ n’ont reçu l’assuré en consultation au moment pour lequel ils ont attesté une incapacité de travail et qu’il ressort clairement de leurs explications qu’ils n’ont fait que relayer les affirmations de l’intéressé. Dans ces circonstances, force est de constater que c’est à juste titre que l’intimé a considéré que l’assuré avait fait défaut sans motif ni excuse valable et qu’une sanction a été prononcée, dont on relèvera encore qu’elle correspond au barème édicté par le Secrétariat d'État à l'économie (SECO). Le recours est donc rejeté.</w:t>
      </w:r>
    </w:p>
    <w:p>
      <w:r>
        <w:t>A/1363/2011 - 6/6 -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