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ATAS/80/2026 vom 2. Februar 2026</w:t>
      </w:r>
    </w:p>
    <w:p>
      <w:r>
        <w:t>GE Cour de justice, 2026-02-02, FR</w:t>
      </w:r>
    </w:p>
    <w:p>
      <w:r>
        <w:rPr>
          <w:b/>
        </w:rPr>
        <w:t xml:space="preserve">Quelle: </w:t>
      </w:r>
      <w:r>
        <w:t>https://mcp.opencaselaw.ch/entscheid/ge_gerichte_ATAS_80_2026</w:t>
      </w:r>
    </w:p>
    <w:p>
      <w:r>
        <w:t>FR: GE_GERICHTE ATAS/80/2026 du 2 février 2026</w:t>
      </w:r>
    </w:p>
    <w:p>
      <w:r>
        <w:t>IT: GE_GERICHTE ATAS/80/2026 del 2 febbraio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la question de la recevabilité de l’opposition de la recourante à la décision de l’intimée du 28 mai 2025.</w:t>
      </w:r>
    </w:p>
    <w:p>
      <w:r>
        <w:rPr>
          <w:b/>
        </w:rPr>
        <w:t>E. 3.1</w:t>
      </w:r>
    </w:p>
    <w:p>
      <w:r>
        <w:t>Selon l’art. 52 al. 1 LPGA, les décisions peuvent être attaquées dans les 30 jours par voie d’opposition auprès de l’assureur qui les a rendues, à l’exception des décisions d’ordonnancement de la procédure. Selon l’art. 10 OPGA, l’opposition doit contenir des conclusions et être motivée (al. 1) ; doit être formée par écrit l’opposition contre une décision (al. 2) : a. sujette à opposition, conformément à l’art. 52 LPGA, et qui a pour objet une prestation ou la restitution d’une prestation fondées sur la loi fédérale du 25 juin 1982 sur l’assurance-chômage ; b. prise par un organe d’exécution en matière de sécurité au travail au sens des art. 47 à 51 de l’ordonnance du 19 décembre 1983 sur la prévention des accidents. Dans les autres cas, l’opposition peut être formée au choix par écrit ou par oral, lors d’un entretien personnel (al.3) ; l’opposition écrite doit être signée par l’opposant ou par son représentant légal. En cas d’opposition orale, l’assureur consigne l’opposition dans un procès-verbal signé par l’opposant ou son</w:t>
      </w:r>
    </w:p>
    <w:p>
      <w:r>
        <w:t>A/3826/2025 - 4/6 - représentant légal (al. 4) ; si l’opposition ne satisfait pas aux exigences de l’al. 1 ou si elle n’est pas signée, l’assureur impartit un délai convenable pour réparer le vice, avec l’avertissement qu’à défaut, l’opposition ne sera pas recevable. (al. 5).</w:t>
      </w:r>
    </w:p>
    <w:p>
      <w:r>
        <w:rPr>
          <w:b/>
        </w:rPr>
        <w:t>E. 3.2</w:t>
      </w:r>
    </w:p>
    <w:p>
      <w:r>
        <w:t>À la différence d'une opposition ou d'un recours, la transmission d'écrits par la voie électronique est admissible. Toutefois,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(ATF 145 V 90 consid. 6.2.2 concernant le formulaire des preuves de recherches d'emploi). Il appartient ainsi à l'expéditeur de prendre certaines précautions, sans quoi il devra assumer le risque, conformément aux règles sur la répartition du fardeau de la preuve (ATF 145 V 90 consid. 3.2 et les références), que son envoi ne parvienne pas - ou pas dans un délai prévu - auprès du destinataire (ATF 145 V 90 consid. 6.2.2 ; arrêts du Tribunal fédéral 8C_756/2020 du 3 août 2021 consid. 3.1 ; 8C_339/2016 du 29 juin 2016 consid. 4.4 ; 2C_699/2012 du 22 octobre 2012 consid. 4.2 ; ATAS/853/2019 du 24 septembre 2019 consid 4b).</w:t>
      </w:r>
    </w:p>
    <w:p>
      <w:r>
        <w:rPr>
          <w:b/>
        </w:rPr>
        <w:t>E. 4</w:t>
      </w:r>
    </w:p>
    <w:p>
      <w:r>
        <w:t>En l’espèce, il est admis que la décision de l’intimée du 28 mai 2025 a été notifiée à la recourante le 5 juin 2025 et que le délai pour s’y opposer venait à échéance le</w:t>
      </w:r>
    </w:p>
    <w:p>
      <w:r>
        <w:rPr>
          <w:b/>
        </w:rPr>
        <w:t>E. 7</w:t>
      </w:r>
    </w:p>
    <w:p>
      <w:r>
        <w:t>juillet 2025 n’est pas rapportée. En conséquence, c’est à juste titre que l’intimée a déclaré l’opposition de la recourante du 1er octobre 2025 irrecevable, celle-ci ayant été formée au-delà du délai d’opposition.</w:t>
      </w:r>
    </w:p>
    <w:p>
      <w:r>
        <w:t>A/3826/2025 - 5/6 - 5. En conséquence, le recours ne peut qu’être rejeté. Pour le surplus, la procédure est gratuite (art. 61 let. fbis LPGA a contrario).</w:t>
      </w:r>
    </w:p>
    <w:p>
      <w:r>
        <w:t>A/3826/2025 - 6/6 -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