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ATAS/80/2025 vom 10. Februar 2025</w:t>
      </w:r>
    </w:p>
    <w:p>
      <w:r>
        <w:t>GE Cour de justice, 2025-02-10, FR</w:t>
      </w:r>
    </w:p>
    <w:p>
      <w:r>
        <w:rPr>
          <w:b/>
        </w:rPr>
        <w:t xml:space="preserve">Quelle: </w:t>
      </w:r>
      <w:r>
        <w:t>https://mcp.opencaselaw.ch/entscheid/ge_gerichte_ATAS_80_2025</w:t>
      </w:r>
    </w:p>
    <w:p>
      <w:r>
        <w:t>FR: GE_GERICHTE ATAS/80/2025 du 10 février 2025</w:t>
      </w:r>
    </w:p>
    <w:p>
      <w:r>
        <w:t>IT: GE_GERICHTE ATAS/80/2025 del 10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d’invalidité, singulièrement sur l’évaluation de sa capacité de travail.</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2023, soit six mois après le dépôt de la demande de prestations du 6 décembre</w:t>
      </w:r>
    </w:p>
    <w:p>
      <w:r>
        <w:t>A/1876/2024 - 6/16 - 2022 (cf. art. 29 al. 1 LAI), de sorte que les dispositions légales applicables seront citées dans leur nouvelle teneur.</w:t>
      </w:r>
    </w:p>
    <w:p>
      <w:r>
        <w:rPr>
          <w:b/>
        </w:rPr>
        <w:t>E. 3.2</w:t>
      </w:r>
    </w:p>
    <w:p>
      <w:r>
        <w:t>; 139 V 176 consid. 5.3 et les références). Aussi n’existe-t-il pas, en droit des assurances sociales, un principe selon lequel l’administration ou le juge devrait statuer, dans le doute, en faveur de l’assuré (ATF 135 V 39 consid. 6.1 et la référence).</w:t>
      </w:r>
    </w:p>
    <w:p>
      <w:r>
        <w:rPr>
          <w:b/>
        </w:rPr>
        <w:t>E. 3.3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3.4.1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A/1876/2024 - 7/16 -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3.4.2</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t>A/1876/2024 - 8/16 - S'agissant de la valeur probante des rapports des SMR selon l'art. 49 al. 2 RAI,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(cf. ATF 137 V 210 consid. 1.2.1 ; arrêt du Tribunal fédéral I 738/05 du 1er mars 2007 consid. 5.2, in SVR IV 33 n° 117 ; arrêt du Tribunal fédéral 8C_697/2023 du 17 septembre 2024 consid. 3.3.2).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 arrêts du Tribunal fédéral 8C_816/2021 du 2 mai 2022 consid. 3.2 et l'arrêt cité ; 8C_697/2023 précité consid. 3.3.2).</w:t>
      </w:r>
    </w:p>
    <w:p>
      <w:r>
        <w:rPr>
          <w:b/>
        </w:rPr>
        <w:t>E. 3.4.3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w:t>
      </w:r>
    </w:p>
    <w:p>
      <w:r>
        <w:t>A/1876/2024 - 9/16 -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3.4.5</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3.6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t>A/1876/2024 - 10/16 -</w:t>
      </w:r>
    </w:p>
    <w:p>
      <w:r>
        <w:rPr>
          <w:b/>
        </w:rPr>
        <w:t>E. 3.7</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3.7.1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w:t>
      </w:r>
    </w:p>
    <w:p>
      <w:r>
        <w:rPr>
          <w:b/>
        </w:rPr>
        <w:t>E. 3.7.2</w:t>
      </w:r>
    </w:p>
    <w:p>
      <w:r>
        <w:t>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3.7.3</w:t>
      </w:r>
    </w:p>
    <w:p>
      <w:r>
        <w:t>La comparaison des revenus s'effectue, en règle ordinaire, en chiffrant aussi exactement que possible les montants des revenus sans et avec invalidité et en les confrontant l'un avec l'autre, la différence permettant de calculer le taux</w:t>
      </w:r>
    </w:p>
    <w:p>
      <w:r>
        <w:t>A/1876/2024 - 11/16 -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w:t>
      </w:r>
    </w:p>
    <w:p>
      <w:r>
        <w:rPr>
          <w:b/>
        </w:rPr>
        <w:t>E. 3.7.4</w:t>
      </w:r>
    </w:p>
    <w:p>
      <w:r>
        <w:t>S’agissant du revenu d’invalide, 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Dans un arrêt de principe (8C_823/2023 du 8 juillet 2024, destiné à la publication),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dans le cas où les capacités fonctionnelles de la personne assurée ne lui permettent de travailler qu’à un taux d’occupation de 50% ou moins (cf. art. 26bis al. 3 RAI), le Conseil fédéral avait choisi une autre voie (consid. 9.4.3). Par conséquent, si en raison des circonstances du cas d’espèce, le salaire statistique des ESS doit être adapté au-delà de ce que prévoit l’art. 26bis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w:t>
      </w:r>
    </w:p>
    <w:p>
      <w:r>
        <w:t>A/1876/2024 - 12/16 -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w:t>
      </w:r>
    </w:p>
    <w:p>
      <w:r>
        <w:rPr>
          <w:b/>
        </w:rPr>
        <w:t>E. 4</w:t>
      </w:r>
    </w:p>
    <w:p>
      <w:r>
        <w:t>En l’occurrence, l’intimé s’est fondé, pour rendre la décision litigieuse, sur l’expertise bidisciplinaire du SMR du 29 septembre 2023, laquelle conclut à une capacité de travail nulle de la recourante dans l’activité de femme de ménage / employée polyvalente de maison depuis le 29 avril 2021 et de 100% dans une activité adaptée aux limitations fonctionnelles depuis le 30 juin 2022 (pas de mouvements répétés de flexion-extension du tronc, pas d’attitude prolongée en porte-à-faux, pas de position statique assise ou debout au-delà de 45 minutes, pas de position debout statique au-delà de 20 minutes, pas de marche à s’arrêter au-delà du kilomètre et pas de port de charges de plus de 5 kg). La recourante conteste la valeur probante de l’expertise du SMR et requiert une expertise judiciaire rhumatologique et psychiatrique, en faisant valoir l’avis de ses médecins traitants, les Drs B______, C______, F______ et G______.</w:t>
      </w:r>
    </w:p>
    <w:p>
      <w:r>
        <w:rPr>
          <w:b/>
        </w:rPr>
        <w:t>E. 4.1</w:t>
      </w:r>
    </w:p>
    <w:p>
      <w:r>
        <w:t>Préalablement, il convient de constater que le rapport du SMR du 29 septembre 2023 répond aux exigences d’une expertise médicale et est donc comparable à une expertise médicale externe. Comprenant une anamnèse complète, la description des plaintes et de la vie quotidienne de la recourante, des diagnostics clairs, un status, des limitations fonctionnelles et une appréciation consensuelle convaincante de la capacité de travail de la recourante, le rapport du SMR du 29 septembre 2023 répond aux réquisits jurisprudentiels précités pour qu’il lui soit reconnu une pleine valeur probante. En particulier, les éléments avancés par la recourante et ses griefs de violation de l'art. 44 LPGA sont mal fondés. En effet, l'art. 44 LPGA (« Expertise »), qui prévoit notamment un enregistrement sonore des entretiens (al. 6), ne s'applique pas aux examens médicaux réalisés par les SMR comme celui pratiqué par le Dr D______, médecin exerçant précisément pour le compte du SMR. Un tel examen est soumis aux exigences de l'art. 49 al. 2 RAI, aux termes duquel les SMR peuvent au besoin procéder eux-mêmes à des examens médicaux sur la personne des assurés ; ils consignent les résultats de ces examens par écrit. Quant au fait que le Dr D______ ne serait pas certifié en médecine d'assurance suisse, il ne permet pas en soi de remettre en cause ses conclusions, alors qu'il s'agit d'un spécialiste en psychiatrie et psychothérapie, comme cela ressort du rapport d'examen (à cet égard, arrêt du Tribunal fédéral 8C_697/2023 précité consid. 3.2.2).</w:t>
      </w:r>
    </w:p>
    <w:p>
      <w:r>
        <w:t>A/1876/2024 - 13/16 - En outre, l’expert psychiatre a procédé à l’analyse des indicateurs jurisprudentiels, en évaluant en particulier les ressources de la recourante, la cohérence, les éventuels troubles de la personnalité et le traitement suivi (expertise du SMR pp. 16-17), de sorte que, contrairement à l’avis de la recourante, il convient d’admettre que son expertise répond aux exigences d’une évaluation psychiatrique. Dans la mesure où l’expert D______ n’a retenu qu’une dysthymie dans son examen clinique, sans signe de gravité lors de l’exploration de la thymie, il n’y a pas lieu d’admettre que des tests psychologiques concernant la dépression et l’anxiété auraient été nécessaires, étant relevé que de tels tests (auto- appréciation, appréciation par un tiers, questionnaire, entretiens plus ou moins structurés) ne sont indiqués que si la symptomatologie le requiert ou en présence d’indications fondées et que l’examen clinique et l’évaluation de la cohérence et de la validité restent la base sur laquelle on peut apprécier la plausibilité des résultats obtenus au moyen des tests psychodiagnostiques (lignes directrices de qualité des expertises de psychiatrie d’assurance de la société suisse de psychiatrie et psychothérapie du 16 juin 2016, pp. 11 et 20).</w:t>
      </w:r>
    </w:p>
    <w:p>
      <w:r>
        <w:rPr>
          <w:b/>
        </w:rPr>
        <w:t>E. 4.1.1</w:t>
      </w:r>
    </w:p>
    <w:p>
      <w:r>
        <w:t>La recourante estime que les experts du SMR ont surévalué ses capacités fonctionnelles, en manquant d’objectivité. À cet égard, il y a lieu de relever que les médecins traitants de la recourante ont tous attesté d’une capacité de travail de celle-ci, même si elle est partielle, ce qui va dans le sens d’une potentielle capacité à effectuer un certain nombre de tâches. Cependant, l’appréciation des médecins traitants quant aux capacités fonctionnelles de la recourante, analysée ci-après (consid. 4.2.1), n’emporte pas la conviction.</w:t>
      </w:r>
    </w:p>
    <w:p>
      <w:r>
        <w:rPr>
          <w:b/>
        </w:rPr>
        <w:t>E. 4.1.2</w:t>
      </w:r>
    </w:p>
    <w:p>
      <w:r>
        <w:t>Enfin, la teneur générale du dossier médical de la recourante, critère pertinent selon l’arrêt du Tribunal fédéral 8C_697/2023 précité, comprenant les avis de ses médecins traitants, ne permet pas, comme exposé ci-après, de douter des conclusions du rapport du SMR, de telle sorte que l’ordonnance d’une expertise administrative externe n’est pas nécessaire.</w:t>
      </w:r>
    </w:p>
    <w:p>
      <w:r>
        <w:rPr>
          <w:b/>
        </w:rPr>
        <w:t>E. 4.2.1</w:t>
      </w:r>
    </w:p>
    <w:p>
      <w:r>
        <w:t>Du point de vue somatique, la Dre C______, dans son rapport du 27 juin 2024, pose des diagnostics qui sont déjà pris en compte par l’expert E______. Elle estime qu’une activité à un taux de 50% au moins est exigible dans une activité adaptée aux limitations fonctionnelles. Elle n’explique toutefois pas pour quelles raisons une activité adaptée ne serait pas exigible à un taux supérieur à celui de 50%, étant relevé que ce taux pourrait, selon elle, être supérieur puisqu’elle précise qu’il est de « 50% au moins ». Son avis n’est pas à même de faire douter de l’appréciation de l’expert E______.</w:t>
      </w:r>
    </w:p>
    <w:p>
      <w:r>
        <w:rPr>
          <w:b/>
        </w:rPr>
        <w:t>E. 4.2.2</w:t>
      </w:r>
    </w:p>
    <w:p>
      <w:r>
        <w:t>Quant au Dr F______, il pose le diagnostic de fibromyalgie, également retenu par l’expert E______, et estime la capacité de travail exigible de la recourante à un taux de 80% dans une activité adaptée, pour tenir compte d’une</w:t>
      </w:r>
    </w:p>
    <w:p>
      <w:r>
        <w:t>A/1876/2024 - 14/16 - baisse de rendement de 20% en raison de pauses supplémentaires dues à la fatigue. Or, même si l’on devait admettre que la fatigue est objectivée et limite les capacités fonctionnelles de la recourante dans le sens admis par le Dr F______, ce que l’expert D______ a exclu, le degré d’invalidité résultant d’une capacité de travail de 80% dans une activité adaptée n’ouvrirait pas le droit à une rente d’invalidité, comme il sera exposé ci-après (consid. 4.4).</w:t>
      </w:r>
    </w:p>
    <w:p>
      <w:r>
        <w:rPr>
          <w:b/>
        </w:rPr>
        <w:t>E. 4.2.3</w:t>
      </w:r>
    </w:p>
    <w:p>
      <w:r>
        <w:t>Du point de vue psychiatrique, le Dr G______ a posé les diagnostics de trouble dépressif récurrent, épisode actuel moyen et trouble de la personnalité dépendante, non retenus par l’expert D______, lequel a attesté d’une dysthymie et de phobie spécifique des espaces restreints clos. Le Dr G______ estime que l’atteinte psychique de la recourante existe depuis longtemps. Il évoque des événements douloureux à l’âge de 17 ans, ayant généré un trouble de la personnalité dépendante, une personnalité acquise au début de l’âge adulte, une dimension chronique des difficultés psychologiques, des troubles du sommeil chroniques depuis 1996 et une dépression récurrente présente dès le décès du père (2011). Il relève que les limitations fonctionnelles sont présentes de longue date. Comme souligné par l’intimé, la recourante, qui a indiqué avoir travaillé jusqu’en 2018 (expertise du SMR p. 4 et procès-verbal de l’audience du 2 septembre 2024), présentait déjà les limitations fonctionnelles évoquées par son psychiatre traitant, de sorte que la capacité de travail de 50% fixée actuellement selon ces mêmes limitations fonctionnelles par ce médecin (rapport du 17 décembre 2024) n’est pas suffisamment motivée pour faire douter de l’appréciation de l’expert D______.</w:t>
      </w:r>
    </w:p>
    <w:p>
      <w:r>
        <w:rPr>
          <w:b/>
        </w:rPr>
        <w:t>E. 4.2.4</w:t>
      </w:r>
    </w:p>
    <w:p>
      <w:r>
        <w:t>Enfin, le Dr B______ s’est limité, dans ses avis des 15 mars et 22 mai 2024, à mentionner plusieurs diagnostics, tant psychiatriques que somatiques, sans indiquer de limitations fonctionnelles ni évaluer la capacité de travail de la recourante, de sorte qu’ils ne sont pas à même de mettre en doute les conclusions de l’expertise bidisciplinaire du SMR.</w:t>
      </w:r>
    </w:p>
    <w:p>
      <w:r>
        <w:rPr>
          <w:b/>
        </w:rPr>
        <w:t>E. 4.3</w:t>
      </w:r>
    </w:p>
    <w:p>
      <w:r>
        <w:t>Au vu de ce qui précède, les conclusions de l’expertise du SMR peuvent être suivies et la recourante doit être reconnue totalement incapable de travailler dans son ancienne activité depuis le 29 avril 2021 (expertise du SMR p. 18) et capable de travailler à un taux de 100% dès le 30 juin 2022.</w:t>
      </w:r>
    </w:p>
    <w:p>
      <w:r>
        <w:rPr>
          <w:b/>
        </w:rPr>
        <w:t>E. 4.4</w:t>
      </w:r>
    </w:p>
    <w:p>
      <w:r>
        <w:t>Vu l’incapacité de travail totale admise par l’intimé du 29 avril 2021 au 29 juin 2022, la recourante aurait en principe droit à une rente entière d’invalidité du 1er avril 2022 au 30 septembre 2022. Toutefois, la demande de prestations ayant été déposée le 6 décembre 2022, le droit à une éventuelle rente d’invalidité ne peut naitre qu’au plus tôt le 1er juin 2023, date à laquelle le droit à la rente entière d’invalidité n’existe plus.</w:t>
      </w:r>
    </w:p>
    <w:p>
      <w:r>
        <w:t>A/1876/2024 - 15/16 - Enfin, même si l’on devait reconnaitre à la recourante une diminution de rendement de 20%, comme attestée par le Dr F______, son degré d’invalidité serait, en 2022, de :</w:t>
      </w:r>
    </w:p>
    <w:p>
      <w:r>
        <w:t>CHF 50'741 - CHF 39’039 = 23%</w:t>
      </w:r>
    </w:p>
    <w:p>
      <w:r>
        <w:t>CHF 50’741 Ce taux est insuffisant pour ouvrir le droit à une rente d’invalidité, étant relevé que les revenus sans et avec invalidité retenus par l’intimé ne sont pas contestés et qu’en application de l’arrêt du Tribunal fédéral 8C_823/2023 du 8 juillet 2024 précité, il se justifie d’appliquer un abattement de 10% sur le revenu d’invalide, également pour l’année 2022.</w:t>
      </w:r>
    </w:p>
    <w:p>
      <w:r>
        <w:rPr>
          <w:b/>
        </w:rPr>
        <w:t>E. 4.5</w:t>
      </w:r>
    </w:p>
    <w:p>
      <w:r>
        <w:t>Au vu de ce qui précède, le recours ne peut qu’être rejeté. Vu le sort du recours, il y a lieu de condamner la recourante au paiement d'un émolument de CHF 200.- (art. 69 al. 1 bis LAI).</w:t>
      </w:r>
    </w:p>
    <w:p>
      <w:r>
        <w:t>A/1876/2024 - 16/16 -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