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ATAS/809/2018 vom 17. September 2018</w:t>
      </w:r>
    </w:p>
    <w:p>
      <w:r>
        <w:t>GE Cour de justice, 2018-09-17, FR</w:t>
      </w:r>
    </w:p>
    <w:p>
      <w:r>
        <w:rPr>
          <w:b/>
        </w:rPr>
        <w:t xml:space="preserve">Quelle: </w:t>
      </w:r>
      <w:r>
        <w:t>https://mcp.opencaselaw.ch/entscheid/ge_gerichte_ATAS_809_2018</w:t>
      </w:r>
    </w:p>
    <w:p>
      <w:r>
        <w:t>FR: GE_GERICHTE ATAS/809/2018 du 17 septembre 2018</w:t>
      </w:r>
    </w:p>
    <w:p>
      <w:r>
        <w:t>IT: GE_GERICHTE ATAS/809/2018 del 17 settembre 2018</w:t>
      </w:r>
    </w:p>
    <w:p>
      <w:pPr>
        <w:pStyle w:val="Heading2"/>
      </w:pPr>
      <w:r>
        <w:t>Erwägungen</w:t>
      </w:r>
    </w:p>
    <w:p>
      <w:r>
        <w:rPr>
          <w:b/>
        </w:rPr>
        <w:t>E. 25</w:t>
      </w:r>
    </w:p>
    <w:p>
      <w:r>
        <w:t>juillet 2017 (régularisée le 25 août) contre la décision de réparation du dommage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 le recours est recevable, ayant été interjeté dans les forme et délai requis ; Qu'il y a lieu de considérer en l'espèce que l'accord intervenu entre les parties lors de l'audience de comparution personnelle est conforme au droit.</w:t>
      </w:r>
    </w:p>
    <w:p>
      <w:r>
        <w:t>A/1376/2018 - 3/3 -</w:t>
      </w:r>
    </w:p>
    <w:p>
      <w:r>
        <w:t>PAR CES MOTIFS, LA CHAMBRE DES ASSURANCES SOCIALES Statuant d’accord entre les parties 1. Annule la décision sur opposition du 21 mars 2018 de la caisse cantonale genevoise de compensation.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