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ATAS/809/2017 vom 20. September 2017</w:t>
      </w:r>
    </w:p>
    <w:p>
      <w:r>
        <w:t>GE Cour de justice, 2017-09-20, FR</w:t>
      </w:r>
    </w:p>
    <w:p>
      <w:r>
        <w:rPr>
          <w:b/>
        </w:rPr>
        <w:t xml:space="preserve">Quelle: </w:t>
      </w:r>
      <w:r>
        <w:t>https://mcp.opencaselaw.ch/entscheid/ge_gerichte_ATAS_809_2017</w:t>
      </w:r>
    </w:p>
    <w:p>
      <w:r>
        <w:t>FR: GE_GERICHTE ATAS/809/2017 du 20 septembre 2017</w:t>
      </w:r>
    </w:p>
    <w:p>
      <w:r>
        <w:t>IT: GE_GERICHTE ATAS/809/2017 del 20 settembre 2017</w:t>
      </w:r>
    </w:p>
    <w:p>
      <w:pPr>
        <w:pStyle w:val="Heading2"/>
      </w:pPr>
      <w:r>
        <w:t>Erwägungen</w:t>
      </w:r>
    </w:p>
    <w:p>
      <w:r>
        <w:rPr>
          <w:b/>
        </w:rPr>
        <w:t>E. 11</w:t>
      </w:r>
    </w:p>
    <w:p>
      <w:r>
        <w:t>Le 15 mai 2017, l’assuré a formé recours contre la décision précitée auprès de la chambre des assurances sociales de la Cour de justice, reprenant en substance les arguments déjà développés dans son opposition.</w:t>
      </w:r>
    </w:p>
    <w:p>
      <w:r>
        <w:rPr>
          <w:b/>
        </w:rPr>
        <w:t>E. 12</w:t>
      </w:r>
    </w:p>
    <w:p>
      <w:r>
        <w:t>Le 11 juin 2017, le recourant a produit deux pièces supplémentaires : - un jugement du TPI du 1er juin 2017 prononçant la faillite de la société le jour même ; - un courrier adressé à lui par l’office des faillites le 8 juin 2017 le convoquant dans le cadre des mesures conservatoires commandées par les circonstances à la suite du jugement de faillite, qui était immédiatement exécutoire.</w:t>
      </w:r>
    </w:p>
    <w:p>
      <w:r>
        <w:rPr>
          <w:b/>
        </w:rPr>
        <w:t>E. 13</w:t>
      </w:r>
    </w:p>
    <w:p>
      <w:r>
        <w:t>Par réponse du 12 juin 2017, l’OCE a observé, pièce à l'appui, que selon l’extrait du registre du commerce, état au 9 juin 2017, le recourant était toujours inscrit en qualité d’associé gérant avec signature individuelle de la société, qui n’avait toujours pas été mise en faillite. Il persistait en conséquence dans les termes de sa décision sur opposition.</w:t>
      </w:r>
    </w:p>
    <w:p>
      <w:r>
        <w:rPr>
          <w:b/>
        </w:rPr>
        <w:t>E. 14</w:t>
      </w:r>
    </w:p>
    <w:p>
      <w:r>
        <w:t>Le 21 août 2017, l’assuré a produit à la procédure un extrait du registre du commerce dont il ressort que la société était en cours de liquidation, précisant que la société serait radiée le 21 septembre 2017.</w:t>
      </w:r>
    </w:p>
    <w:p>
      <w:r>
        <w:rPr>
          <w:b/>
        </w:rPr>
        <w:t>E. 15</w:t>
      </w:r>
    </w:p>
    <w:p>
      <w:r>
        <w:t>Sur ce,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Est litigieux en l'espèce, le droit du recourant à l'indemnité de chômage dès le 2 mai 2016. 4. a) L’assuré a droit à l’indemnité de chômage notamment s’il est sans emploi ou partiellement sans emploi (art. 8 al. 1 let. a LACI). Est réputé sans emploi celui qui n’est pas partie à un rapport de travail et qui cherche à exercer une activité à plein- temps (art. 10 al. 1 LACI). Selon l’art. 10 al. 2 LACI, est réputé partiellement sans</w:t>
      </w:r>
    </w:p>
    <w:p>
      <w:r>
        <w:t>A/2082/2017 - 5/9 - emploi celui qui n’est pas partie à un rapport de travail et cherche à n’exercer qu’une activité à temps partiel (let. a) ou occupe un emploi à temps partiel et cherche à le remplacer par une activité à plein-temps ou à le compléter par une autre activité à temps partiel (let. b) (ATF 121 V 355 consid. 2). b) Selon la jurisprudence (ATF 123 V 234),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À cet égard, 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sv. consid. 1b et 2; SVR 1997 ALV n° 101 p. 311 consid. 5c). La seule exception à ce principe que reconnaît le Tribunal fédéral des assurances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273 consid. 3; DTA 2004 n° 21 p. 198 consid. 3.2; ATFA du 27 janvier 2005, cause C 45/04). c)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w:t>
      </w:r>
    </w:p>
    <w:p>
      <w:r>
        <w:t>A/2082/2017 - 6/9 -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(ATFA du 14 avril 2003, cause C 92/02, du 29 août 2005, cause C 163/04). d) De jurisprudence constante, l'inscription de l'assuré au registre du commerce (comme organe de la société) est décisive pour déterminer s'il occupe une position assimilable à celle d'un employeur; la radiation de l'inscription permet d'admettre sans équivoque que l'assuré a quitté la société (ATF du 29 novembre 2005, cause C 175/04). Dans cet arrêt, le TFA a considéré que l'intéressé n'avait ni quitté définitivement l'entreprise en raison de la fermeture de celle-ci, ni rompu tout lien avec la Sàrl. Devenu liquidateur de celle-ci, il avait conservé des prérogatives analogues à celles dont il disposait précédemment. En particulier, il était chargé de la gestion et de la représentation de la société en liquidation, avec pouvoir d'accomplir tous les actes qui entraient dans le cadre du but de la liquidation, y compris, le cas échéant, de nouvelles opérations. En d'autres termes, le statut de liquidateur de la Sàrl avait eu pour effet de maintenir l'intéressé dans le cercle des personnes qui fixent les décisions de l'employeur ou qui les influencent de manière déterminante. De ce chef, il n'avait pas droit à l'indemnité, ce que la jurisprudence avait d'ailleurs déjà admis dans des affaires analogues concernant des liquidateurs</w:t>
      </w:r>
    </w:p>
    <w:p>
      <w:r>
        <w:t>A/2082/2017 - 7/9 - (DTA 2002 p. 185 consid. 3c [arrêt S. du 19 mars 2002, C 373/00]; arrêt G. du 12 septembre 2005, C 131/05). e)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f) Selon les dispositions légales régissant l'organisation de la société à responsabilité limitée, les associés exercent collectivement la gestion de la société (art. 809 al. 1 CO). La qualité de gérant revient à tout associé personne physique indépendamment du moment ou du mode d'acquisition de ses parts. Ainsi, la qualité de gérant naît pour un associé personne physique de son sociétariat (BUCHWALDER, in Commentaire Romand, Code des obligations II, ad art. 809, no 2 et 4). La qualité de gérant emporte non seulement le droit mais aussi l'obligation de gérer la société (ATFA non publié C 205/04 du 29 décembre 2005, consid. 2). Lorsqu'il s'agit d'un membre du conseil d'administration ou d'un associé d'une Sàrl, l'inscription au registre du commerce constitue en règle générale le critère de délimitation décisif pour déterminer s’il occupe une position assimilable à celle d’un employeur (DTA 2002 p. 185 consid. 2b et c; ATFA non publié C 353/05 du 4 octobre 2006, consid. 2). La radiation de l’inscription permet d’admettre sans équivoque que l’assuré a quitté la société (ATFA non publié C 175/04 du 29 novembre 2005, consid. 3.2). Une société disparaît dès la fin de sa liquidation, qui se concrétise par la radiation au RC. Avant ce stade, la société conserve sa personnalité juridique avec toutefois un but restreint par la finalité de la dissolution (cf. art. 821et ss CO; ATF 117 III 39 in JdT 1994 II 12; RUBIN, Assurance-chômage, p. 130). La dissolution de la société doit à tout le moins être entreprise pour qu'un droit à l'indemnité de chômage puisse éventuellement être reconnu à la personne qui a occupé une position assimilable à celle d'un employeur. La seule cessation des activités n'est pas suffisante pour ouvrir un droit à l'indemnité de chômage (cf. ATFA non publié C 11/04 du 7 juillet 2004). Le fait de retarder la dissolution d'une société commerciale peut, suivant les circonstances, être assimilé à une situation potentiellement abusive résultant d'actes concluants (DTA 2001 p. 218). Laisser sciemment possible une continuation des affaires entraîne la négation du droit (ATFA non publié C 64/02 du 7 août 2003, consid. 2.2). En fait, il suffit qu'une continuation des activités de l'entreprise soit possible pour que le droit doive être nié en raison d'un risque de contournement des art. 31 al. 3 let. b et c LACI (ATFA non publié C 75/04 du 20 avril 2005; RUBIN, op. cit., p. 131). La preuve de l'existence d'un abus avéré n'exclut pas le risque d'abus qui est également pris en</w:t>
      </w:r>
    </w:p>
    <w:p>
      <w:r>
        <w:t>A/2082/2017 - 8/9 - compte par la loi et la jurisprudence. Dès lors, l'existence ou l'absence d'abus n'est pas déterminante pour statuer sur un cas d'espèce (ATF non publiés 8C_155/2011 du 25 janvier 2012, consid. 4 et 8C_1004/2010 du 29 juin 2011, consid. 7). g) Les directives (bulletin LACI, 2013) résument ainsi les faits entraînant le départ définitif ou l’abandon définitif de la position assimilable à celle d’un employeur: - la fermeture de l’entreprise ; - la faillite de l’entreprise ; - la vente de l’entreprise et/ou de la participation financière avec abandon de la position assimilable à celle d’un employeur ; - le congé avec perte de la position assimilable à celle d’un employeur. 5.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 6. En l’espèce, il n’est pas contesté que le recourant était inscrit au registre du commerce en qualité d’associé gérant de la société, avec signature individuelle, lorsqu'il a requis les prestations de l'assurance-chômage et qu'il l'était toujours lorsque la décision querellée a été rendue. Cela implique qu'il n’avait pas droit à l’indemnité de chômage, selon la jurisprudence précitée, car la loi lui reconnaît, de ce fait, d'emblée un pouvoir de décision déterminant la société. C'est ainsi à juste titre que l'OCE a nié son droit à l'indemnité de chômage dès le 2 mai 2016. 7. Mal fondé, le recours sera rejeté. 8. La procédure est gratuite (art. 61 let. a LPGA). 9. Le recourant n’ayant pas obtenu gain de cause, il ne peut prétendre à l’octroi de dépens (art. 61 let. g LPGA).</w:t>
      </w:r>
    </w:p>
    <w:p>
      <w:r>
        <w:t>A/2082/2017 - 9/9 -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