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ATAS/809/2008 vom 9. Juli 2008</w:t>
      </w:r>
    </w:p>
    <w:p>
      <w:r>
        <w:t>GE Cour de justice, 2008-07-09, FR</w:t>
      </w:r>
    </w:p>
    <w:p>
      <w:r>
        <w:rPr>
          <w:b/>
        </w:rPr>
        <w:t xml:space="preserve">Quelle: </w:t>
      </w:r>
      <w:r>
        <w:t>https://mcp.opencaselaw.ch/entscheid/ge_gerichte_ATAS_809_2008</w:t>
      </w:r>
    </w:p>
    <w:p>
      <w:r>
        <w:t>FR: GE_GERICHTE ATAS/809/2008 du 9 juillet 2008</w:t>
      </w:r>
    </w:p>
    <w:p>
      <w:r>
        <w:t>IT: GE_GERICHTE ATAS/809/2008 del 9 luglio 2008</w:t>
      </w:r>
    </w:p>
    <w:p>
      <w:pPr>
        <w:pStyle w:val="Heading2"/>
      </w:pPr>
      <w:r>
        <w:t>Erwägungen</w:t>
      </w:r>
    </w:p>
    <w:p>
      <w:r>
        <w:rPr>
          <w:b/>
        </w:rPr>
        <w:t>E. 1</w:t>
      </w:r>
    </w:p>
    <w:p>
      <w:r>
        <w:t>Conformément à l'art. 56V al. 1 let. a ch. 8 de la loi genevoise sur l'organisation judiciaire (ci-après: LOJ), le Tribunal cantonal des assurances sociales connaît en instance unique des contestations prévues à l’article 56 de la loi fédérale sur la partie générale du droit des assurances sociales du 6 octobre 2000 ( ci-après: LPGA) qui sont relatives à la loi fédérale sur l’assurance-chômage obligatoire et l’indemnité en cas d’insolvabilité du 25 juin 1982 (ci-après: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consiste à déterminer si c'est à juste titre que l'UNIA demande la restitution des prestations chômage versées pour la période d'avril 2006, la question d'une éventuelle remise étant réservée.</w:t>
      </w:r>
    </w:p>
    <w:p>
      <w:r>
        <w:rPr>
          <w:b/>
        </w:rPr>
        <w:t>E. 5</w:t>
      </w:r>
    </w:p>
    <w:p>
      <w:r>
        <w:t>L'art. 8 al. 1 LACI énumère aux lettres a à g sept conditions du droit à l'indemnité de chômage. L'assuré à droit à l'indemnité chômage s'il est sans emploi ou</w:t>
      </w:r>
    </w:p>
    <w:p>
      <w:r>
        <w:t>A/2140/2007 - 7/10 - partiellement sans emploi; a subi une perte de travail à prendre en considération; est domicilié en Suisse; a achevé sa scolarité obligatoire, qu’il n’a pas encore atteint l’âge donnant droit à une rente AVS et ne touche pas de rente de vieillesse de l’AVS; remplit les conditions relatives à la période de cotisation ou en est libéré; est apte au placement et satisfait aux exigences du contrôle. Ces conditions sont cumulatives (ATF 124 V 218 consid. 2). En particulier, Il y a lieu de prendre en considération la perte de travail lorsqu’elle se traduit par un manque à gagner et dure au moins deux journées de travail consécutives (art. 11 al. 1 LACI).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Lorsque des prestations sont indûment touchées, elle doivent être restituées sauf si le bénéficiaire est de bonne foi et que la restitution le met dans une situation difficile (art. 25 al. 1 LPGA applicable par renvoi de l'art. 95 al. 1 LACI). L'art. 4 al. 1 de l'ordonnance sur la partie générale du droit des assurances sociales du 11 septembre 2002 (ci-après: OPGA) confirme que "La restitution entière ou partielle des prestations allouées indûment, mais reçues de bonne foi, ne peut être exigée si l’intéressé se trouve dans une situation difficile". Selon l'al. 4 de cette disposition, la demande écrite de remise, motivée et accompagnée des pièces nécessaires, doit être adressée par écrit au plus tard dans les 30 jours suivant l'entrée en force de la décision de restitution.</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Dans le cas d'espèce, la recourante se voit demander la restitution des indemnités chômage touchées pour le mois d'avril 2006, au motif que ses revenus cumulés</w:t>
      </w:r>
    </w:p>
    <w:p>
      <w:r>
        <w:t>A/2140/2007 - 8/10 - dépasseraient le montant de ladite indemnité. Concernant les gains intermédiaires réalisés par la recourante pour la période litigieuse, il faut d'abord mentionner le gain obtenu auprès de X__________, qui n'est pas litigieux. Le litige porte sur le gain qui aurait été réalisé grâce à l'activité de commise de salle auprès de Y__________. Sur ce dernier point, force est de constater que les deux parties au litige fournissent deux versions totalement contradictoires de l'état de fait. D'un côté, la recourante a réaffirmé dans chacune de ses écritures qu'elle a travaillé chez X__________ jusqu'à mi-avril et était donc dans l'impossibilité d'exercer une activité chez Y__________ pendant tout le mois. Elle a toujours affirmé n'y avoir fait qu'un stage de trois jours non-rémunéré. De l'autre, l'UNIA a toujours retenu que la recourante a exercé une activité lucrative auprès du restaurant sur la base des déclarations du gérant et des documents transmis par celui-ci. M. D__________, le propriétaire de la société qui gérait le restaurant a certes tenu des propos contradictoires. Il a fourni une attestation datée du 18 septembre 2006 accréditant la thèse de la recourante, que celle-ci a joint à ses écritures, puis a fourni de nombreux documents allant dans le sens de la version retenue par l'UNIA (attestation destinée à l'assurance-chômage du 27 juillet 2006,courriers du 4 décembre 2006 et de mai 2007). A cet égard,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115 V 143 consid. 8c). Il s'agit d'un principe général d'appréciation des déclarations, qui peut être transposé de la même manière aux déclarations de témoins. M. D__________ s'en est expliqué à l'audience du 5 décembre 2007, lors de laquelle il a déclaré que "c'est la mère de l'assurée qui a établi cette attestation car sa fille avait des problèmes de chômage. J'ai fait une erreur en signant cette attestation, mais la mère de la recourante a des capacités pour embobiner les gens". Au demeurant, il n'y a pas d'éléments mettant en doute ces déclarations, ce d'autant plus que d'autres preuves viennent confirmer la fausseté de l'attestation du 18 septembre 2006. En effet, même à vouloir écarter le témoignage de M. D__________, force est de constater que l'instruction de la cause a permis de recueillir la comptabilité du restaurant Y__________, certifiée par une fiduciaire, faisait état d'un salaire versé à la recourante pour la période d'avril 2006. Sur la base de cette rémunération, des cotisations sociales ont été versées en faveur de la recourante sur un compte individuel à son nom auprès de GASTROSUISSE. Ainsi, il est rendu très vraisemblable que la recourante a bien été rémunérée à hauteur de 3'325 fr. pour son activité auprès du restaurant Y__________ pour le mois d'avril 2006. Si la recourante n'avait fait réellement qu'un stage de trois jours non- rémunéré, cela suppose que M. D__________ ait falsifié sa comptabilité et versé des cotisations sociales fictives. Or, le Tribunal de céans ne voit absolument pas</w:t>
      </w:r>
    </w:p>
    <w:p>
      <w:r>
        <w:t>A/2140/2007 - 9/10 - quels motifs et quels intérêts auraient pu pousser M. D__________ à se comporter de manière aussi frauduleuse dans l'affaire en cause. A cela s'ajoute le fait que les déclarations de la recourante sont contradictoires entre elles et perdent ainsi toute crédibilité aux yeux du Tribunal de céans. La recourante a constamment réaffirmé n'avoir fait qu'un essai non-rémunéré, mais à déclaré, lors de l'audience du 5 décembre 2007, avoir touché de M. D__________ la somme de 1'700 fr. Il n'est objectivement pas possible de justifier une telle rémunération pour seulement trois jours d'essai. Mme GEISIGER SUBIRAN de l'OCE avait, en son temps, déjà relevé des contradictions dans les propos de la recourante, qui lui avait affirmé avoir commencé une activité chez Y__________ le 26 avril 2006, puis, dans un entretien ultérieur, n'y avoir fait qu'un jour d'essai. Il s'agit là de propos contradictoires entre eux, mais également avec ceux soutenus par la recourante dans la procédure devant le Tribunal de céans. Selon les déclarations et documents réunis, il apparaît comme le plus vraisemblable au Tribunal de céans que la recourante ait occupé en parallèle les emplois auprès de X__________ et du restaurant Y__________. La recourante travaillait jusqu'à 12 heures environ chez X__________, ce qui lui permettait vraisemblablement d'être disponible chez Y__________ l'après-midi et le soir. D'ailleurs, la recourante a effectué environ 230 heures chez X__________ sur trois mois, soit un peu plus de 75 heures hebdomadaires. Cette cadence de travail lui permettait sans doute d'avoir un deuxième emploi en parallèle, ce d'autant plus que l'employeur à déclaré 37 heures de travail pour la première quinzaine d'avril, soit bien mois que la moyenne hebdomadaire théorique. La décision litigieuse est donc pleinement conforme aux règles légales pertinentes et doit, de ce fait, être confirmée.</w:t>
      </w:r>
    </w:p>
    <w:p>
      <w:r>
        <w:t>A/2140/2007 - 10/10 -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