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ATAS/808/2024 vom 18. Oktober 2024</w:t>
      </w:r>
    </w:p>
    <w:p>
      <w:r>
        <w:t>GE Cour de justice, 2024-10-18, FR</w:t>
      </w:r>
    </w:p>
    <w:p>
      <w:r>
        <w:rPr>
          <w:b/>
        </w:rPr>
        <w:t xml:space="preserve">Quelle: </w:t>
      </w:r>
      <w:r>
        <w:t>https://mcp.opencaselaw.ch/entscheid/ge_gerichte_ATAS_808_2024</w:t>
      </w:r>
    </w:p>
    <w:p>
      <w:r>
        <w:t>FR: GE_GERICHTE ATAS/808/2024 du 18 octobre 2024</w:t>
      </w:r>
    </w:p>
    <w:p>
      <w:r>
        <w:t>IT: GE_GERICHTE ATAS/808/2024 del 18 ottobre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Est litigieux le droit à l'indemnité de la recourante à partir du mois d’août 2023. Les conditions relatives à la période de cotisation (art. 13 LACI) ne sont pas réalisées, ce qui n'est pas contesté. Il s'agit d'examiner si la recourante peut se prévaloir des règles sur la libération des conditions relatives à la période de cotisation (art. 14 LACI).</w:t>
      </w:r>
    </w:p>
    <w:p>
      <w:r>
        <w:t>A/181/2024 - 4/7 -</w:t>
      </w:r>
    </w:p>
    <w:p>
      <w:r>
        <w:rPr>
          <w:b/>
        </w:rPr>
        <w:t>E. 2.1</w:t>
      </w:r>
    </w:p>
    <w:p>
      <w:r>
        <w:t>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condition qu'elles aient été domiciliées en Suisse pendant la période correspondante (let. b) ; séjour dans un établissement suisse de détention ou d'éducation au travail, ou dans une institution suisse de même nature (let. c).</w:t>
      </w:r>
    </w:p>
    <w:p>
      <w:r>
        <w:rPr>
          <w:b/>
        </w:rPr>
        <w:t>E. 2.2</w:t>
      </w:r>
    </w:p>
    <w:p>
      <w:r>
        <w:t>Selon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 cette disposition n'est applicable que si l'événement en question ne remonte pas à plus d'une année et si la personne concernée était domiciliée en Suisse au moment où il s'est produit. L'art. 14 al. 2 LACI vise des personnes qui, en raison de certains événements, se trouvent soudainement confrontées à une situation qui est de nature à mettre en péril leurs moyens d'existence garantis auparavant. Cette disposition s’applique également en cas de séparation de fait (arrêt du Tribunal fédéral C 105/00 du 23 octobre 2000 consid. 3a). La preuve de domiciles séparés et de l’existence d’un arrangement financier conclu entre conjoints devra alors être rapportée (Boris RUBIN, Commentaire de la loi sur l’assurance-chômage, 2014, n. 39 ad art. 14 LACI). Le moment déterminant de la survenance d’un motif de libération lié au divorce est celui de la perte de soutien effective (arrêt du Tribunal fédéral C 369/01 du 4 août 2004 consid. 3.3). Comme cela ressort du texte de l'art. 14 al. 2 LACI, il doit exister un lien de causalité entre le motif de libération invoqué et la nécessité de prendre ou d'augmenter une activité lucrative (ATF 131 V 279 consid. 2.4 ; 125 V 123 consid. 2 ; Boris RUBIN, Assurance-chômage, Droit fédéral, Survol des mesures cantonales, Procédure, 2e éd., Zurich 2006, p. 193). Ce qui est déterminant, c'est la soudaineté de la nécessité de reprendre une activité lucrative et le fait que l'entrée dans la vie active ou la réintégration de celle-ci n'avait pas été prévue. La preuve stricte de la causalité, dans une acception scientifique, n'est toutefois pas exigée ; l'existence d'un lien de causalité doit déjà être admise lorsqu'il apparaît crédible et compréhensible que l'événement en question est à l'origine de la décision de l’assuré d'exercer une activité salariée ou de l'étendre (ATF 125 V 123 consid. 2a ; 121 V 336 consid. 5c/bb ; 119 V 51 consid. 3b ; arrêt du Tribunal fédéral 8C_186/2012 du 1er mars 2013 consid. 3.2).</w:t>
      </w:r>
    </w:p>
    <w:p>
      <w:r>
        <w:t>A/181/2024 - 5/7 -</w:t>
      </w:r>
    </w:p>
    <w:p>
      <w:r>
        <w:rPr>
          <w:b/>
        </w:rPr>
        <w:t>E. 2.3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3</w:t>
      </w:r>
    </w:p>
    <w:p>
      <w:r>
        <w:t>Dans la décision entreprise, l’intimée a nié le droit aux indemnités de chômage de la recourante, au motif qu’elle ne pouvait se prévaloir d’aucun motif de libération, puisqu’elle vivait toujours à la même adresse que son mari. La recourante conteste ce raisonnement, faisant valoir que son mari a quitté le logement familial depuis le 1er septembre 2023. Il ressort toutefois de l’extrait de registre de l’OCPM que C______ a quitté le domicile familial, sis rue E______, le 1er avril 2024, soit plus de huit mois après l’inscription au chômage. Or, en pareille hypothèse, le lien de causalité entre l’événement libératoire et la nécessité de prendre un emploi fait défaut. Comme il sera exposé ci-après, la recourante n’a pas réussi à démontrer, au degré de la vraisemblance prépondérante, applicable en assurances sociales, que la date du registre officiel ne correspondait pas à la séparation effective du couple. Lors de l’audience de comparution personnelle, la recourante a expliqué qu’elle avait quitté son dernier emploi en janvier 2022 en raison des difficultés rencontrées dans son couple. Elle était partie vivre au Maroc avec ses enfants pendant un an et demi. Ces éléments ne sont toutefois aucunement établis, étant précisé que, selon le registre de l’OCPM, la recourante était domiciliée à son logement familial, sis à la rue E______, pendant toute cette période. Quoi qu’il en soit, même à suivre la recourante, la séparation ne pourrait constituer un motif de libération au sens de l’art. 14 al. 2 LACI. En effet, selon ses dires, la séparation de fait remonterait à janvier 2022, soit à plus d’une année avant la demande d’indemnités. Or, au vu du texte clair de cette disposition, celle-ci ne s’applique pas dans ce cas. La recourante ne démontre, au demeurant, pas qu’elle se soit soudainement retrouvée dans une situation de contrainte économique. C’est le lieu de préciser que, selon les déclarations en audience de la recourante, sa situation financière n’apparaît pas avoir connu d’évolution entre janvier 2022, lorsqu’elle serait partie vivre au Maroc avec ses trois enfants, et son inscription au chômage en août 2023. On ne se trouve ainsi pas dans un cas où l’inscription au chômage est en lien de causalité avec une perte de soutien effective dans l’année précédant l’inscription au chômage.</w:t>
      </w:r>
    </w:p>
    <w:p>
      <w:r>
        <w:t>A/181/2024 - 6/7 - C’est partant à juste titre que l’intimée a retenu que la recourante ne pouvait se prévaloir d’un motif de libération. Dans la mesure où la condition relative à la période de cotisation, à savoir l'exercice d'une activité soumise à cotisation durant douze mois au moins durant le délai-cadre applicable (art. 13 al. 1 LACI), n’est pas réalisée, la recourante n'a pas droit aux indemnités de l'assurance-chômage (art. 8 al. 1 let. e LACI). La chambre de céans relèvera, par surabondance, que dans la mesure où, à compter du mois de septembre 2023, la recourante n’a pas transmis les formulaires IPA dans le délai de trois mois fixé par l’art. 20 al. 3 LACI, elle serait a fortiori déchue de son droit aux indemnités.</w:t>
      </w:r>
    </w:p>
    <w:p>
      <w:r>
        <w:rPr>
          <w:b/>
        </w:rPr>
        <w:t>E. 4</w:t>
      </w:r>
    </w:p>
    <w:p>
      <w:r>
        <w:t>Vu ce qui précède, la décision sur opposition attaquée n'est pas critiquable et le recours se révèle mal fondé.</w:t>
      </w:r>
    </w:p>
    <w:p>
      <w:r>
        <w:t>******</w:t>
      </w:r>
    </w:p>
    <w:p>
      <w:r>
        <w:t>A/181/2024 - 7/7 -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