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ATAS/808/2020 vom 28. September 2020</w:t>
      </w:r>
    </w:p>
    <w:p>
      <w:r>
        <w:t>GE Cour de justice, 2020-09-28, FR</w:t>
      </w:r>
    </w:p>
    <w:p>
      <w:r>
        <w:rPr>
          <w:b/>
        </w:rPr>
        <w:t xml:space="preserve">Quelle: </w:t>
      </w:r>
      <w:r>
        <w:t>https://mcp.opencaselaw.ch/entscheid/ge_gerichte_ATAS_808_2020</w:t>
      </w:r>
    </w:p>
    <w:p>
      <w:r>
        <w:t>FR: GE_GERICHTE ATAS/808/2020 du 28 septembre 2020</w:t>
      </w:r>
    </w:p>
    <w:p>
      <w:r>
        <w:t>IT: GE_GERICHTE ATAS/808/2020 del 28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de 5 jours du droit à l'indemnité du recourant.</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w:t>
      </w:r>
    </w:p>
    <w:p>
      <w:r>
        <w:t>A/1271/2020 - 4/8 - en particulier, de chercher du travail, au besoin en dehors de la profession qu’il exerçait précédemment. Il doit pouvoir apporter la preuve des efforts qu'il a fournis. Selon l’art. 17 al. 3 let. b LACI, l’assuré a l’obligation, lorsque l’autorité compétente le lui enjoint, de participer aux entretiens de conseil, aux réunions d’information et aux consultations spécialisées. L'article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w:t>
      </w:r>
    </w:p>
    <w:p>
      <w:r>
        <w:t>A/1271/2020 - 5/8 -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en ne se rendant notamment pas à un entretien de conseil, sans excuse valable, l’autorité doit infliger une sanction de 5 à 8 jours lors du premier manquement et de 9 à 15 jours lors du second manquement (Bulletin LACI/IC n° D79 ch. 3A).</w:t>
      </w:r>
    </w:p>
    <w:p>
      <w:r>
        <w:rPr>
          <w:b/>
        </w:rPr>
        <w:t>E. 6</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Boris RUBIN, Commentaire de la Loi sur l'assurance-chômage – 2014 - n. 110 ad art. 30).</w:t>
      </w:r>
    </w:p>
    <w:p>
      <w:r>
        <w:rPr>
          <w:b/>
        </w:rPr>
        <w:t>E. 7</w:t>
      </w:r>
    </w:p>
    <w:p>
      <w:r>
        <w:t>a. 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En application du principe de proportionnalité, il ne pourra être sanctionné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prescriptions de l'ORP. Lorsque le comportement général du chômeur est irréprochable, il importe peu, en cas d'absence isolée à un entretien, qu'il se soit excusé immédiatement après. Ce qui est déterminant, c'est qu'il ait réagi aussi</w:t>
      </w:r>
    </w:p>
    <w:p>
      <w:r>
        <w:t>A/1271/2020 - 6/8 - rapidement que la situation le permettait, c’est-à-dire dès qu'il a été en mesure de se rendre compte de son erreur (Boris RUBIN op. cit ch. 50 ad art. 30). b.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(arrêts 8C 447/2008 du 16 octobre 2008 consid. 5.1, in DTA 2009 p. 271; 8C 675/2014 du 12 décembre 2014 consid. 3; 8C 834/2010 du</w:t>
      </w:r>
    </w:p>
    <w:p>
      <w:r>
        <w:rPr>
          <w:b/>
        </w:rPr>
        <w:t>E. 11</w:t>
      </w:r>
    </w:p>
    <w:p>
      <w:r>
        <w:t>mai 2011 consid. 2.3; 8C 469/2010 du 9 février 2011 consid. 2.2). Il suffit que l'assuré ait déjà commis une faute, de quelque nature qu'elle soit, sanctionnée ou non, pour qu'une sanction se justifie en cas d'absence injustifiée (DTA 2013 p. 185 ; arrêt du Tribunal fédéral 8C 777/2017 du 2 août 2018).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l'espèce, il n’est pas contesté que depuis son inscription à l’ORP le 30 septembre 2019, le recourant a pris au sérieux ses obligations de chômeur, notamment en participant à tous les entretiens de conseil, hormis celui litigieux du 21 janvier 2020, en effectuant les recherches d’emploi exigées et en suivant la mesure de coaching IPT dès le 9 janvier 2020. L’intimé estime que le recourant ne peut bénéficier de la tolérance appliquée en général lors d’un premier entretien de conseil non honoré et en présence d’un assuré qui respecte par ailleurs ses obligations de chômeur, dès lors qu’il ne s’agirait pas d’un oubli, d’une erreur d’inattention ou d’une confusion dans les dates d’entretien de la part du recourant, mais d’une négligence de celui-ci. Il reproche au recourant de ne pas avoir fait le nécessaire pour être en mesure de lire les courriels transmis par son conseiller en personnel (décision litigieuse et PV d’audience du 14 septembre 2020). L’intimé ne saurait toutefois être suivi. En effet, le recourant a expliqué que son ordinateur était en panne dès fin décembre 2019, qu’il l’avait fait réparer en janvier 2020 (ce qui est attesté par la facture de B______) et que ce n’était que lorsqu’il avait récupéré celui-ci, postérieurement au 21 janvier 2020 et même postérieurement à la décision de</w:t>
      </w:r>
    </w:p>
    <w:p>
      <w:r>
        <w:t>A/1271/2020 - 7/8 - sanction du 27 janvier 2020 (opposition du 13 février 2020 et recours du 29 avril 2020), qu’il avait pris connaissance de la date de l’entretien de conseil. Il a précisé que, malgré le fait qu’il ne pouvait lire ses courriels durant toute la période où son ordinateur était en panne, il pensait pouvoir prendre connaissance de la convocation à l’entretien de conseil par le biais d’un SMS de son conseiller, dès lors qu’il avait déjà reçu un tel SMS le 7 octobre 2019 pour la convocation à un entretien et que son conseiller en personnel lui avait assuré qu’il lui enverrait, à chaque fois, un SMS de confirmation. Le recourant a par ailleurs précisé que tel avait été le cas les 28 janvier, 16 mars, 22 mai, 24 juin, 1er août et 9 septembre 2020. Ces faits n’ont pas été contestés par l’intimé, lequel a même précisé qu’à sa connaissance le conseiller en personnel du recourant avait en effet pour pratique d’envoyer, en tous les cas au début de la prise en charge, des SMS de confirmation (PV d’audience du</w:t>
      </w:r>
    </w:p>
    <w:p>
      <w:r>
        <w:rPr>
          <w:b/>
        </w:rPr>
        <w:t>E. 14</w:t>
      </w:r>
    </w:p>
    <w:p>
      <w:r>
        <w:t>septembre 2020). Dans ces conditions, le comportement du recourant qui, pensant qu’il serait convoqué en entretien de conseil par un SMS de la part de son conseiller en personnel, se contente d’attendre courant janvier 2020, la réception du SMS relève d’une simple erreur de sa part et non pas d’une indifférence ou d’un manque d’intérêt envers ses obligations de chômeur. En effet, déjà convoqué par SMS et courriel le 7 octobre 2019, le recourant a pu croire que ce mode de faire serait réutilisé par son conseiller en personnel, ce d’autant que celui-ci le lui avait assuré lors d’un entretien précédent, ce qui n’a pas été contesté par l’intimé. On ne saurait dès lors reprocher au recourant de ne pas avoir fait en sorte de pouvoir lire ses courriels. En outre, lorsqu’il s’est inquiété, fin janvier 2020, de l’absence de convocation, sa conseillère IPT l’a rassuré en lui indiquant que, lors d’une mesure de coaching, les entretiens pouvaient être espacés - ce qui n’est pas contesté non plus par l’intimé –, et ce qui lui avait laissé croire que l’absence de convocation à un entretien de conseil n’était pas anormale. La différence que fait l’intimé entre la situation de l’assuré qui oublie un rendez- vous de conseil, en gérant mal son agenda, ce qui constitue déjà une forme de négligence, et celle du recourant, qui était en droit de penser que la convocation au prochain entretien de conseil allait lui être communiquée non seulement par courriel mais également par SMS et attend la réception de celui-ci, ne saurait justifier l’application d’une tolérance dans le premier cas et d’une sanction dans l’autre. Partant, l’intimé ne pouvait prononcer une suspension du droit à l’indemnité du recourant, celui-ci devant être mis au bénéfice de la tolérance précitée. 10. Au vu de ce qui précède, le recours sera admis et la décision litigieuse annulée. Pour le surplus, la procédure est gratuite. * * * * * *</w:t>
      </w:r>
    </w:p>
    <w:p>
      <w:r>
        <w:t>A/1271/2020 - 8/8 -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