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ATAS/808/2019 vom 9. September 2019</w:t>
      </w:r>
    </w:p>
    <w:p>
      <w:r>
        <w:t>GE Cour de justice, 2019-09-09, FR</w:t>
      </w:r>
    </w:p>
    <w:p>
      <w:r>
        <w:rPr>
          <w:b/>
        </w:rPr>
        <w:t xml:space="preserve">Quelle: </w:t>
      </w:r>
      <w:r>
        <w:t>https://mcp.opencaselaw.ch/entscheid/ge_gerichte_ATAS_808_2019</w:t>
      </w:r>
    </w:p>
    <w:p>
      <w:r>
        <w:t>FR: GE_GERICHTE ATAS/808/2019 du 9 septembre 2019</w:t>
      </w:r>
    </w:p>
    <w:p>
      <w:r>
        <w:t>IT: GE_GERICHTE ATAS/808/2019 del 9 settembre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9 jours du droit à l'indemnité de la recourante.</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Sur le plan quantitatif, la jurisprudence considère que 10 à 12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c. En s'inscrivant pour toucher des indemnités, l'assuré doit fournir à l'office compétent la preuve des efforts qu'il entreprend pour trouver du travail (art. 26 al. 2</w:t>
      </w:r>
    </w:p>
    <w:p>
      <w:r>
        <w:t>A/1865/2019 - 4/6 - OACI). Il ressort de cette disposition que l'obligation de rechercher un emploi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arrêt du Tribunal fédéral 8C 800/2008 du 8 avril 2009). L’obligation de rechercher un emploi vaut également durant les derniers mois (en principe trois) d’un rapport de travail de durée déterminée, durant la période qui précède l’inscription au chômage (Boris RUBIN, commentaire op.cit. p. 199).</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w:t>
      </w:r>
    </w:p>
    <w:p>
      <w:r>
        <w:t>A/1865/2019 - 5/6 -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La chambre de céans a jugé (ATAS/258/2015 du 26 mars 2015) qu’il se justifiait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deux mois et qui ne fournit aucune recherche d'emploi est actuellement mieux traité que celui qui, au bénéfice d'un délai de congé de trois mois, ne fournit aucune recherche d'emploi durant le premier mois du délai de congé, mais fournit un nombre de recherches d'emploi suffisant et adéquat durant les deux derniers mois du délai de congé.</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l’occurrence, l’OCE, prenant en compte un délai de congé de deux mois au lieu de trois, a proposé la réduction de la sanction de 9 à 6 jours de suspension du droit à l’indemnité de la recourante, ce qui correspond aux conclusions de celle-ci. Partant, il convient d’en prendre acte, d’admettre le recours et de réduire la sanction de 9 à 6 jours de suspension du droit à l’indemnité de la recourante.</w:t>
      </w:r>
    </w:p>
    <w:p>
      <w:r>
        <w:rPr>
          <w:b/>
        </w:rPr>
        <w:t>E. 8</w:t>
      </w:r>
    </w:p>
    <w:p>
      <w:r>
        <w:t>Pour le surplus, la procédure est gratuite.</w:t>
      </w:r>
    </w:p>
    <w:p>
      <w:r>
        <w:t>A/1865/2019 - 6/6 -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