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ATAS/808/2012 vom 19. Juni 2012</w:t>
      </w:r>
    </w:p>
    <w:p>
      <w:r>
        <w:t>GE Cour de justice, 2012-06-19, FR</w:t>
      </w:r>
    </w:p>
    <w:p>
      <w:r>
        <w:rPr>
          <w:b/>
        </w:rPr>
        <w:t xml:space="preserve">Quelle: </w:t>
      </w:r>
      <w:r>
        <w:t>https://mcp.opencaselaw.ch/entscheid/ge_gerichte_ATAS_808_2012</w:t>
      </w:r>
    </w:p>
    <w:p>
      <w:r>
        <w:t>FR: GE_GERICHTE ATAS/808/2012 du 19 juin 2012</w:t>
      </w:r>
    </w:p>
    <w:p>
      <w:r>
        <w:t>IT: GE_GERICHTE ATAS/808/2012 del 19 giugno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est entrée en vigueur le 1er janvier 2003 et est donc applicable.</w:t>
      </w:r>
    </w:p>
    <w:p>
      <w:r>
        <w:rPr>
          <w:b/>
        </w:rPr>
        <w:t>E. 3</w:t>
      </w:r>
    </w:p>
    <w:p>
      <w:r>
        <w:t>La question de la recevabilité du recours, eu égard à la langue employée et à la motivation, sera laissée ouverte.</w:t>
      </w:r>
    </w:p>
    <w:p>
      <w:r>
        <w:t>A/496/2012 - 5/8 -</w:t>
      </w:r>
    </w:p>
    <w:p>
      <w:r>
        <w:rPr>
          <w:b/>
        </w:rPr>
        <w:t>E. 4</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Les prestations de l'assurance-accident incluent le traitement médical (art. 10 LAA) l'octroi de moyens auxiliaires en cas de perte d'une fonction (art. 11 LAA), des indemnités journalières lorsque l'assuré est incapable de travailler suite à un accident (art. 16 LAA), une rente d'invalidité si l'assuré est invalide à 10% au moins (art. 18 LAA), ainsi qu'une indemnité pour atteinte à l'intégrité selon les tables en vigueur (art. 24 LAA).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w:t>
      </w:r>
    </w:p>
    <w:p>
      <w:r>
        <w:t>A/496/2012 - 6/8 -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(ATF 115 V 139 consid. 6, 407 consid. 5). d) L'accident doit être qualifié de gravité moyenne lorsqu'il se situe en deçà de la limite supérieure de cette catégorie, selon la jurisprudence du TFA en la matière, résumée in ATA 670/01 (pour mémoire : ont été qualifiés de gravité moyenne un choc frontal entre deux voitures de gravité moyenne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e)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w:t>
      </w:r>
    </w:p>
    <w:p>
      <w:r>
        <w:rPr>
          <w:b/>
        </w:rPr>
        <w:t>E. 5</w:t>
      </w:r>
    </w:p>
    <w:p>
      <w:r>
        <w:t>En l'espèce, les rapports médicaux produits par l'assuré n'établissent pas d'aggravation de son état de santé somatique, mais attestent uniquement que les douleurs ressenties par l'assuré dans les extrémités des deux doigts touchés lors de l'accident de janvier 2006 persistent. Les radiographies produites sont comparables à celles effectuées précédemment et montrent toujours qu'il y a un petit fragment</w:t>
      </w:r>
    </w:p>
    <w:p>
      <w:r>
        <w:t>A/496/2012 - 7/8 - détaché sur le bord droit de l'index. S'agissant de l'IPAI, cette dernière a définitivement été refusée par la SUVA en 2008, de sorte que le recours est irrecevable sur ce point, étant toutefois précisé qu'à défaut de perte d'une phalange complète d'un doigt, l'assuré n'a pas droit à une IPAI, l'atteinte n'atteignant pas 5%. S'agissant de la rente d'invalidité, il s'avère que l'assuré a été capable de travailler à 100% de septembre 2006 jusqu'à son renvoi au Kosovo, en été 2008, de sorte qu'à défaut d'aggravation de l'état de santé, cette capacité de travail est demeurée entière. Du point de vue somatique, les rapports médicaux n'établissent pas d'aggravation des douleurs, ni que celles-ci impliqueraient une incapacité de travail. Les atteintes psychiques éventuellement présentées par l'assuré, outre qu'aucun diagnostic précis n'est posé et que les rapports médicaux ne font pas état d'un suivi spécialisé par un psychiatre, ne sont à l'évidence pas en lien de causalité adéquate avec l'accident, qui peut être qualifié d'insignifiant ou, au pire, de peu de gravité. C'est ainsi à juste titre que la SUVA a refusé toute prestation à l'assuré.</w:t>
      </w:r>
    </w:p>
    <w:p>
      <w:r>
        <w:rPr>
          <w:b/>
        </w:rPr>
        <w:t>E. 6</w:t>
      </w:r>
    </w:p>
    <w:p>
      <w:r>
        <w:t>Le recours, mal fondé, est rejeté, dans la mesure de sa recevabilité. La procédure est gratuite.</w:t>
      </w:r>
    </w:p>
    <w:p>
      <w:r>
        <w:t>A/496/2012 - 8/8 -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