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ATAS/808/2011 vom 1. September 2011</w:t>
      </w:r>
    </w:p>
    <w:p>
      <w:r>
        <w:t>GE Cour de justice, 2011-09-01, FR</w:t>
      </w:r>
    </w:p>
    <w:p>
      <w:r>
        <w:rPr>
          <w:b/>
        </w:rPr>
        <w:t xml:space="preserve">Quelle: </w:t>
      </w:r>
      <w:r>
        <w:t>https://mcp.opencaselaw.ch/entscheid/ge_gerichte_ATAS_808_2011</w:t>
      </w:r>
    </w:p>
    <w:p>
      <w:r>
        <w:t>FR: GE_GERICHTE ATAS/808/2011 du 1 septembre 2011</w:t>
      </w:r>
    </w:p>
    <w:p>
      <w:r>
        <w:t>IT: GE_GERICHTE ATAS/808/2011 del 1 settembre 2011</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par les demandeurs. Les dates pertinentes sont, d’une part, le 1er septembre 2006, date du mariage, d’autre part le 9 avril 2011, date à laquelle le jugement de divorce est devenu exécutoire.</w:t>
      </w:r>
    </w:p>
    <w:p>
      <w:r>
        <w:rPr>
          <w:b/>
        </w:rPr>
        <w:t>E. 4</w:t>
      </w:r>
    </w:p>
    <w:p>
      <w:r>
        <w:t>Selon les documents produits, la prestation acquise pendant le mariage par la demanderesse s'élève à 60 fr. tandis que le demandeur n’a accumulé aucun avoir durant le mariage, de sorte que c’est la demanderesse qui doit à son ex-époux le montant de 30 fr.</w:t>
      </w:r>
    </w:p>
    <w:p>
      <w:r>
        <w:t>A/1262/2011 4/5</w:t>
      </w:r>
    </w:p>
    <w:p>
      <w:r>
        <w:rPr>
          <w:b/>
        </w:rPr>
        <w:t>E. 5</w:t>
      </w:r>
    </w:p>
    <w:p>
      <w:r>
        <w:t>Compte tenu de la modicité de cette somme, celle-ci sera versée au demandeur en espèces (art. 5 al. 1 let. c de la loi fédérale sur le libre passage dans la prévoyance professionnelle vieillesse, survivants et invalidité).</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7</w:t>
      </w:r>
    </w:p>
    <w:p>
      <w:r>
        <w:t>Aucun émolument ne sera perçu, la procédure étant gratuite (art. 73 al. 2 LPP et 89H al. 1 de la loi sur la procédure administrative du 12 septembre 1985).</w:t>
      </w:r>
    </w:p>
    <w:p>
      <w:r>
        <w:t>A/1262/2011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