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ATAS/807/2016 vom 12. Oktober 2016</w:t>
      </w:r>
    </w:p>
    <w:p>
      <w:r>
        <w:t>GE Cour de justice, 2016-10-12, FR</w:t>
      </w:r>
    </w:p>
    <w:p>
      <w:r>
        <w:rPr>
          <w:b/>
        </w:rPr>
        <w:t xml:space="preserve">Quelle: </w:t>
      </w:r>
      <w:r>
        <w:t>https://mcp.opencaselaw.ch/entscheid/ge_gerichte_ATAS_807_2016</w:t>
      </w:r>
    </w:p>
    <w:p>
      <w:r>
        <w:t>FR: GE_GERICHTE ATAS/807/2016 du 12 octobre 2016</w:t>
      </w:r>
    </w:p>
    <w:p>
      <w:r>
        <w:t>IT: GE_GERICHTE ATAS/807/2016 del 12 ottobre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En l’espèce, dans ses décisions – qui déterminent l’objet de la contestation –, l’intimée a procédé au calcul de la rente d’invalidité allouée au recourant dès le</w:t>
      </w:r>
    </w:p>
    <w:p>
      <w:r>
        <w:t>A/3480/2015 - 11/19 - 1er avril 2015. Même si la décision sur opposition du 3 septembre 2014 avait également pour objet l’exigibilité dans une activité respectant les limitations fonctionnelles et que dans son arrêt du 17 juin 2015, la chambre de céans a confirmé que la capacité de travail du recourant était exigible à 100% dans une activité adaptée, cette question n’est pas entrée en force de chose jugée. En effet, la capacité de travail résiduelle en tant que telle ne constitue que l'un des facteurs de l'évaluation de l'invalidité (cf. art. 6 à 8 et 16 LPGA) et l'un des aspects du rapport juridique litigieux qui font partie de la motivation de la décision (ATF 136 V 362 consid. 3.4.3). Par conséquent, en tant qu'élément de la motivation de la décision, la capacité (ou l'incapacité) de travail ne peut en principe être considérée comme décidée et entrée en force de chose jugée – n'étant alors plus susceptible d'être soumise à l'examen du juge – que lorsqu'il a été statué de manière définitive (par une décision entrée en force de chose jugée) sur le rapport juridique litigieux (le droit à la rente d'invalidité) dans son ensemble (cf. ATF 125 V 413 consid. 2b; arrêts du Tribunal fédéral 9C_488/2008 consid. 4, in SVR 2009 IV n° 7 p. 13 et 9C_99/2012 du 24 septembre 2012 consid. 3.1). Tel n’est pas le cas en l’occurrence, puisque la question du droit à la rente d’invalidité fait précisément l’objet de la présente procédure. En revanche, les griefs du recourant concernant l’atteinte à l’intégrité excèdent l’objet du litige dès lors que la décision litigieuse ne traite pas cette question. Même si l’indemnité pour atteinte à l’intégrité n’a pas fait l’objet d’une décision définitive - l’arrêt du 17 juin 2015 ayant renvoyé la cause à l’intimée pour instruction complémentaire -, il n’existe aucune raison d’étendre la présente procédure judiciaire à cette question dès lors que le recourant n’invoque pas un motif de reconsidération ou de révision dudit arrêt. Par conséquent, est seul litigieux le degré d’invalidité du recourant, plus particulièrement sa capacité de travail résiduelle dans une activité adaptée, son revenu sans invalidité et son revenu d’invalide.</w:t>
      </w:r>
    </w:p>
    <w:p>
      <w:r>
        <w:rPr>
          <w:b/>
        </w:rPr>
        <w:t>E. 5</w:t>
      </w:r>
    </w:p>
    <w:p>
      <w:r>
        <w:t>Selon l'art. 6 al. 1 LAA, les prestations d'assurance sont allouées en cas d'accident professionnel, d'accident non professionnel et de maladie professionnelle.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A/3480/2015 - 12/19 - Selon l'art. 15 LAA, les indemnités journalières et les rentes sont calculées d'après le gain assuré (al. 1); est déterminant pour le calcul des rentes le salaire que l'assuré a gagné durant l'année qui a précédé l'accident (al. 2, deuxième phrase). Sous réserve de diverses dérogations qui ne concernent pas le présent cas, est réputé gain assuré le salaire déterminant au sens de la législation sur l'assurance-vieillesse et survivants (art. 22 al. 2 de l’ordonnance sur l'assurance-accidents du 20 décembre 1982 [OLAA - RS 832.202]). La rente d’invalidité s’élève à 80% du gain assuré (art. 20 al. 1 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prévu à l'art. 22 al. 4 OLAA que les rentes sont calculées sur la base du salaire que l'assuré a reçu d'un ou plusieurs employeurs durant l'année qui a précédé l'accident, y compris les éléments de salaire non encore perçus et auxquels il a droit (1ère phrase); si les rapports de travail ont duré moins d'une année, le salaire reçu au cours de cette période est converti en gain annuel (2ème phrase); en cas d'activité de durée déterminée, la conversion se limite à la durée prévue (3ème phrase).</w:t>
      </w:r>
    </w:p>
    <w:p>
      <w:r>
        <w:rPr>
          <w:b/>
        </w:rPr>
        <w:t>E. 6</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w:t>
      </w:r>
    </w:p>
    <w:p>
      <w:r>
        <w:t>A/3480/2015 - 13/19 -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Dans un premier grief, le recourant conteste la capacité résiduelle de travail retenue par le Dr H_______ dans son rapport du 19 juin 2014 au motif qu’il ne s’est pas fondé sur des examens et un dossier complets, n’a pas mentionné exhaustivement ses plaintes, n’a pas posé de diagnostics précis et n’a pas motivé ses conclusions par référence aux autres avis médicaux. Il en déduit que son rapport d’examen final ne remplit pas les critères permettant de lui reconnaître une pleine valeur probante et que sa capacité de travail résiduelle a été mal chiffrée. Il allègue encore que sa situation médicale s’est fortement péjorée depuis ledit rapport et que l’intimée aurait dû attendre la mise en œuvre de l’instruction médicale complémentaire ordonnée par la chambre de céans avant de statuer. Ainsi que la chambre de céans l’a déjà jugé dans son arrêt du 17 juin 2015, le rapport du Dr H_______ repose sur l’examen du recourant, tient compte de ses plaintes ainsi que du dossier médical et contient une motivation tant de la capacité de travail résiduelle que de la stabilisation de son état de santé en se référant aux limitations fonctionnelles retenues dans le rapport du Dr E______ du 4 mars 2014, respectivement aux résultats des examens et compléments radiologiques entrepris lors du séjour du recourant à la CRR du 4 au 26 février 2014. De plus, aucun rapport médical ne contredit son évaluation qui ne comporte pas de contradiction,</w:t>
      </w:r>
    </w:p>
    <w:p>
      <w:r>
        <w:t>A/3480/2015 - 14/19 - de sorte que le rapport du Dr H_______ du 19 juin 2014 remplit les conditions formelles et matérielles permettant de lui reconnaître une pleine valeur probante. Étant donné que le recourant ne produit aucun rapport médical faisant état d’une aggravation de son état de santé en lien avec l’accident du 22 octobre 2012, il ne rend pas plausible l’aggravation alléguée. La chambre de céans rappelle qu’elle a renvoyé le dossier à l’intimée pour procéder à une instruction complémentaire uniquement dans le but d’évaluer l’atteinte à l’intégrité du recourant compte tenu de ses atteintes multiples, notamment des fractures vertébrales consolidées sans séquelles et non pas pour déterminer une nouvelle fois ses limitations fonctionnelles et sa capacité résiduelle de travail. Aussi, ce renvoi n’a aucune incidence sur la valeur probante dudit rapport du Dr H_______ quant à la capacité résiduelle du recourant et ses limitations fonctionnelles. Par conséquent, l’intimée n’avait pas à attendre la mise en œuvre de l’expertise externe auprès d’un orthopédiste pour statuer sur son degré d’invalidité. En définitive, ainsi que le retiennent de façon concordante les médecins de la CRR et le Dr H_______, les limitations fonctionnelles du recourant sont les suivantes : absence de port de charges autres que légères au-dessus du niveau de l’épaule avec le membre supérieur gauche, port de charges maximales de 10 kilos, favoriser l’alternance des positions assises et debout, éviter le maintien prolongé du tronc en porte-à-faux (à genoux, debout ou assis), les flexions/torsions répétées du tronc et l’exposition prolongée du corps entier aux vibrations. À relever que dans son rapport du 19 juin 2014, le Dr I_______ ne mentionne pas au titre des limitations fonctionnelles la nécessité d’éviter l’exposition prolongée du corps entier aux vibrations. Toutefois, cette différence par rapport aux limitations fonctionnelles retenues par le Dr E______ n’a pas d’incidence puisque les autres limitations mentionnées excluent de toute façon l’exercice d’une activité soumise à une exposition prolongée du corps entier aux vibrations. S’agissant de la capacité résiduelle de travail du recourant dans une activité adaptée respectant lesdites limitations fonctionnelles, tant le Dr D______ dans son rapport du 19 février 2014 que le Dr H_______ concluent de façon unanime à une capacité de travail entière, de sorte qu’il y a lieu de procéder au calcul du degré d’invalidité du recourant en fonction d’une telle capacité de travail.</w:t>
      </w:r>
    </w:p>
    <w:p>
      <w:r>
        <w:rPr>
          <w:b/>
        </w:rPr>
        <w:t>E. 9</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ATF 128 V 29 consid. 1; ATF 104 V 135 consid. 2a et 2b).</w:t>
      </w:r>
    </w:p>
    <w:p>
      <w:r>
        <w:t>A/3480/2015 - 15/19 -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(ATF 129 V 472). Les éventuelles objections de l'assuré sur le choix et sur la représentativité des DPT dans un cas concret doivent être soulevées, en principe, durant la procédure d'opposition (ATF 129 V 472 consid. 4.2.2).</w:t>
      </w:r>
    </w:p>
    <w:p>
      <w:r>
        <w:rPr>
          <w:b/>
        </w:rPr>
        <w:t>E. 10</w:t>
      </w:r>
    </w:p>
    <w:p>
      <w:r>
        <w:t>S’agissant du revenu sans invalidité, l’intimée l’a fixé à CHF 69'925.-. Elle a pris en compte un gain horaire en 2015 de CHF 30.27, un nombre d’heures de travail mensuel de 177h70 à raison de 12 mois et 8,33% à titre de treizième salaire. Le recourant conteste le calcul de son revenu sans invalidité. Il allègue que depuis le 15 octobre 2012, il a perçu un salaire horaire brut de CHF 30.20 et a travaillé 45 heures par semaine, ce qui représente un revenu annuel brut de CHF 70'668.-, treizième salaire compris.</w:t>
      </w:r>
    </w:p>
    <w:p>
      <w:r>
        <w:t>A/3480/2015 - 16/19 - La prise en compte d’un treizième salaire n’est pas contestée par les parties. En revanche, elles s’opposent quant au montant du salaire horaire et à la durée hebdomadaire de travail. La déclaration de sinistre par l’employeur, le 23 octobre 2012, mentionne un salaire horaire de CHF 30.- et un horaire de travail hebdomadaire de 40 heures. Le 9 mars 2015, l’employeur a indiqué un salaire horaire de CHF 30.27 en 2015. La fiche d’engagement du 15 octobre 2012 fait état d’un salaire horaire de base de CHF 30.- et d’une soumission des conditions de travail à la CTT de la profession, soit en l’occurrence celle du second œuvre romand (CTT-SOR 2011; https://www.ge.ch/cct/EnVigueur/dati/cct/doc/85046.htm). Selon l’art. 17 al. 2 CTT-SOR 2011, le salaire « mensuel-constant » est payé sur la base du salaire horaire multiplié par 177,7 heures par mois. Par ce mode de calcul, les droits aux vacances et aux jours fériés sont directement compris dans le salaire « mensuel- constant ». S’y ajoute le 13e salaire. Par conséquent, en prenant en considération un salaire horaire de CHF 30.27 conformément aux indications de l’employeur multiplié par 177,7 heures par mois, soit CHF 64'547.75 (30.27 x 177,7 x 12), plus un treizième salaire (8.33%), soit CHF 69'924.70 (64'547.75 x 8.33), l’intimée a correctement calculé le revenu sans invalidité. La durée hebdomadaire de travail de 45 heures alléguée par le recourant n’est pas établie au degré de la vraisemblance prépondérante. En effet, ce dernier ne produit aucun document infirmant la durée de travail hebdomadaire de 40 heures mentionnée tant dans la déclaration de sinistre du 23 octobre 2012 que dans l’attestation de salaire horaire de l’employeur du 4 avril 2014.</w:t>
      </w:r>
    </w:p>
    <w:p>
      <w:r>
        <w:rPr>
          <w:b/>
        </w:rPr>
        <w:t>E. 11</w:t>
      </w:r>
    </w:p>
    <w:p>
      <w:r>
        <w:t>S’agissant du revenu d’invalide, l’intimée l’a évalué sur la base de cinq DPT, quatre dans le canton de Vaud et une à Genève, mentionnant le nombre de postes disponibles ainsi que les salaires minimum, maximum et moyen. Elle en a déduit un salaire moyen de CHF 56'910.40. Le recourant conteste que les cinq DPT sélectionnées satisfassent à ses limitations fonctionnelles. La jurisprudence de l'ATF 129 V 472 consid. 4.2.2, développée en rapport avec la violation du droit d'être entendu (art. 29 Cst.) et de l'égalité des armes (art. 6 par 1 CEDH), a fixé les conditions auxquelles devait être soumise la prise en compte des DPT pour calculer le revenu d'invalide. Le Tribunal fédéral a précisé que l'assuré devait avoir la possibilité de se déterminer sur les DPT permettant d’établir le revenu dans un cas d'espèce. Pour ce faire, le Tribunal fédéral a mentionné que les critiques de l'assuré à l'encontre des DPT devaient être faites en règle générale dans son opposition à la décision de l'assureur-accidents, de façon à ce que celui-ci puisse se déterminer dans la décision sur opposition. Cette manière de faire impose donc à l'assureur-accidents de donner tous les informations et les détails sur les DPT dans la décision initiale (cf. arrêt du Tribunal fédéral 8C_408/2014 du 23 mars 2015 consid. 6.3).</w:t>
      </w:r>
    </w:p>
    <w:p>
      <w:r>
        <w:t>A/3480/2015 - 17/19 - Tel n'a pas été le cas en l'espèce, puisque la façon dont le revenu d’invalide a été fixé a été expliquée pour la première fois dans la décision du 8 septembre 2015 qui n’énumère et ne décrit toutefois pas les DPT ayant servi de base de calcul, mais précise uniquement que les DPT ont été versées au dossier. Par conséquent, ce n’est qu’après avoir demandé à consulter le dossier le 10 novembre 2015, soit deux jours avant de compléter son recours, que le recourant a eu connaissance des DPT. Or, selon la jurisprudence, lorsque la SUVA n'est pas en mesure de satisfaire aux exigences ci-dessus, elle ne peut pas trancher le litige en se basant sur la comparaison des revenus ressortant des DPT. Elle doit déterminer l’invalidité en fonction des salaires statistiques de l’ESS (ATF 129 V 472 consid. 4.2.2 in fine). Par conséquent, il y a lieu d’établir le revenu d’invalide du recourant en 2015 selon les ESS.</w:t>
      </w:r>
    </w:p>
    <w:p>
      <w:r>
        <w:rPr>
          <w:b/>
        </w:rPr>
        <w:t>E. 12</w:t>
      </w:r>
    </w:p>
    <w:p>
      <w:r>
        <w:t>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w:t>
      </w:r>
    </w:p>
    <w:p>
      <w:r>
        <w:t>A/3480/2015 - 18/19 - circonstances de nature à faire apparaître sa propre appréciation comme la mieux appropriée (ATF 126 V 75 consid. 6; ATF 123 V 150 consid. 2 et les références; arrêt du Tribunal fédéral 8C_337/2009 du 18 février 2010 consid. 7.5). En l’espèce, compte tenu de l'activité de substitution dans un emploi adapté, à savoir principalement un travail léger, favorisant l'alternance des positions, évitant le maintien prolongé du tronc en porte-à-faux, évitant les flexions/torsions répétées du tronc et l’exposition prolongée du corps entier aux vibrations, le salaire de référence est celui auquel peuvent prétendre les hommes effectuant des activités simples et répétitives dans le secteur privé (ESS 2014, TA1_tirage_skill_level, niveau de qualification 1). Il s'élève en 2014 à CHF 63'744.- (5'312.- x 12) part au treizième salaire comprise. Une fois indexé à 2015 selon l’évolution des salaires nominaux pour les hommes (+0.3%), il est de CHF 63'935.25 (63'744.- + 191.25). S’agissant de l’abattement, l’OAI l’a évalué à 15% dans son projet de rente du</w:t>
      </w:r>
    </w:p>
    <w:p>
      <w:r>
        <w:rPr>
          <w:b/>
        </w:rPr>
        <w:t>E. 14</w:t>
      </w:r>
    </w:p>
    <w:p>
      <w:r>
        <w:t>Au vu de ce qui précède, le recours sera partiellement admis et la décision de l’intimée du 8 septembre 2015 annulée au sens des considérants. Le recourant étant représenté par un avocat et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A/3480/2015 - 19/19 -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