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ATAS/807/2008 vom 9. Juli 2008</w:t>
      </w:r>
    </w:p>
    <w:p>
      <w:r>
        <w:t>GE Cour de justice, 2008-07-09, FR</w:t>
      </w:r>
    </w:p>
    <w:p>
      <w:r>
        <w:rPr>
          <w:b/>
        </w:rPr>
        <w:t xml:space="preserve">Quelle: </w:t>
      </w:r>
      <w:r>
        <w:t>https://mcp.opencaselaw.ch/entscheid/ge_gerichte_ATAS_807_2008</w:t>
      </w:r>
    </w:p>
    <w:p>
      <w:r>
        <w:t>FR: GE_GERICHTE ATAS/807/2008 du 9 juillet 2008</w:t>
      </w:r>
    </w:p>
    <w:p>
      <w:r>
        <w:t>IT: GE_GERICHTE ATAS/807/2008 del 9 luglio 2008</w:t>
      </w:r>
    </w:p>
    <w:p>
      <w:pPr>
        <w:pStyle w:val="Heading2"/>
      </w:pPr>
      <w:r>
        <w:t>Erwägungen</w:t>
      </w:r>
    </w:p>
    <w:p>
      <w:r>
        <w:rPr>
          <w:b/>
        </w:rPr>
        <w:t>E. 1</w:t>
      </w:r>
    </w:p>
    <w:p>
      <w:r>
        <w:t>Donne acte à l'OCAI de son projet de rente du 1er juillet 2008.</w:t>
      </w:r>
    </w:p>
    <w:p>
      <w:r>
        <w:rPr>
          <w:b/>
        </w:rPr>
        <w:t>E. 2</w:t>
      </w:r>
    </w:p>
    <w:p>
      <w:r>
        <w:t>L'invite à le transmettre sans délai à la caisse pour décision.</w:t>
      </w:r>
    </w:p>
    <w:p>
      <w:r>
        <w:rPr>
          <w:b/>
        </w:rPr>
        <w:t>E. 3</w:t>
      </w:r>
    </w:p>
    <w:p>
      <w:r>
        <w:t>Constate que le recours est devenu sans objet.</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 :</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