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ATAS/806/2023 vom 23. Oktober 2023</w:t>
      </w:r>
    </w:p>
    <w:p>
      <w:r>
        <w:t>GE Cour de justice, 2023-10-23, FR</w:t>
      </w:r>
    </w:p>
    <w:p>
      <w:r>
        <w:rPr>
          <w:b/>
        </w:rPr>
        <w:t xml:space="preserve">Quelle: </w:t>
      </w:r>
      <w:r>
        <w:t>https://mcp.opencaselaw.ch/entscheid/ge_gerichte_ATAS_806_2023</w:t>
      </w:r>
    </w:p>
    <w:p>
      <w:r>
        <w:t>FR: GE_GERICHTE ATAS/806/2023 du 23 octobre 2023</w:t>
      </w:r>
    </w:p>
    <w:p>
      <w:r>
        <w:t>IT: GE_GERICHTE ATAS/806/2023 del 23 ottobre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le point de savoir si c’est à bon droit que l’intimée a prononcé une suspension du droit à l’indemnité de chômage de 25 jours en raison du non- respect du délai de résiliation des rapports de travail par le recourant.</w:t>
      </w:r>
    </w:p>
    <w:p>
      <w:r>
        <w:rPr>
          <w:b/>
        </w:rPr>
        <w:t>E. 4</w:t>
      </w:r>
    </w:p>
    <w:p>
      <w:r>
        <w:t>L'art. 30 al. 1 let. a LACI prévoit que le droit de l’assuré à l’indemnité est suspendu lorsqu’il est établi que celui-ci est sans travail par sa propre faute. Le fait que le travail ne soit plus convenable n’autorise pas la personne assurée à résilier son contrat de travail sans respecter les délais de résiliation ordinaire et ainsi renoncer à son droit aux salaires selon l’art. 324a CO durant le délai de congé contractuel au détriment de l’assurance-chômage (Bulletin LACI IC, ch. D75, 1, G). Si l’assuré renonce tout de même à son droit aux salaires ou aux indemnités journalières en cas de maladie dans le cadre de l’obligation de continuer à verser le salaire, en mettant fin à ses rapports de travail avant le terme du délai de résiliation contractuelle, qu’il s’inscrit et perçoit des indemnités journalières pendant la période où court le délai de résiliation contractuelle, il cause par son comportement un dommage à l’assurance-chômage. Par conséquent, il doit participer de manière appropriée à la réparation du dommage occasionné sous la forme d’une suspension pour chômage fautif (audit letter édition 2017/2 septembre 2017, arrêt TC FR 605 2018 226 du 21 janvier 2020).</w:t>
      </w:r>
    </w:p>
    <w:p>
      <w:r>
        <w:rPr>
          <w:b/>
        </w:rPr>
        <w:t>E. 5</w:t>
      </w:r>
    </w:p>
    <w:p>
      <w:r>
        <w:t>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w:t>
      </w:r>
    </w:p>
    <w:p>
      <w:r>
        <w:t>A/246/2023 - 8/12 - également du principe de proportionnalité (arrêt du Tribunal fédéral 8C_675/2014 du 12 décembre 2014 consid. 5.3).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LACI, n° D24 et D29 ; Boris RUBIN, Commentaire de la loi sur l'assurance-chômage, 2014, n. 23 ad art. 30 et référence citée ; arrêt du Tribunal fédéral C 108/01 du 21 août 2001 consid. 2.a).</w:t>
      </w:r>
    </w:p>
    <w:p>
      <w:r>
        <w:rPr>
          <w:b/>
        </w:rPr>
        <w:t>E. 6</w:t>
      </w:r>
    </w:p>
    <w:p>
      <w:r>
        <w:t>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Si les conditions de travail difficiles ne sont pas suffisantes pour justifier une résiliation et ainsi empêcher une sanction, elles peuvent toutefois être prises en compte dans la fixation de la durée de la suspension (arrêt du Tribunal fédéral 8C_107/2018 du 7 août 2018 consid. 3).</w:t>
      </w:r>
    </w:p>
    <w:p>
      <w:r>
        <w:rPr>
          <w:b/>
        </w:rPr>
        <w:t>E. 7</w:t>
      </w:r>
    </w:p>
    <w:p>
      <w:r>
        <w:t>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Dès lors, même en cas d'abandon ou de refus d'emploi, il est possible, exceptionnellement,</w:t>
      </w:r>
    </w:p>
    <w:p>
      <w:r>
        <w:t>A/246/2023 - 9/12 -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RUBIN, op. cit., 117 ad art. 30).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w:t>
      </w:r>
    </w:p>
    <w:p>
      <w:r>
        <w:rPr>
          <w:b/>
        </w:rPr>
        <w:t>E. 9</w:t>
      </w:r>
    </w:p>
    <w:p>
      <w:r>
        <w:t>En l’espèce, la caisse ne remet pas en question le fait que l’assuré était en droit de résilier son contrat de travail en raison de son incapacité physique de poursuivre son activité auprès de son employeur. En tout état, que l’assuré ait été ou non en incapacité de continuer à travailler dans l’emploi qu’il occupait jusqu’à l’issue de son délai de congé, ne modifie pas l’issue du litige et il n’est pas nécessaire d’instruire plus avant cette question. C’est en effet à tort, quelle que soit l’hypothèse retenue s’agissant de l’impact de son état de santé sur sa capacité à assumer son poste, que l’assuré considère qu’il n’avait ni droit à son salaire ni droit à la prise en charge de son salaire par l’assureur perte de gain durant le délai de congé contractuel, selon les principes rappelés plus haut. Si l’assuré avait respecté le délai de congé de trois mois, dans l’hypothèse où il n’était pas tenu de retourner travailler auprès de son employeur en raison de son état de santé, le salaire aurait continué à être payé par l’employeur pendant ce délai, respectivement l’assureur perte de gain aurait dû verser les indemnités perte de gain maladie, pendant tout ou partie de cette période. Dans l’hypothèse où son médecin a considéré qu’une reprise était possible dans le poste que l’assuré occupait, en refusant de prolonger l’arrêt maladie au-delà du 15 août 2022, l’assuré ne disposait alors d’aucun motif de résiliation de son contrat sans respecter le délai de congé. En ne tenant pas compte de ces éléments, l’assuré a fait supporter à la caisse le préjudice financier pendant le délai de congé de trois mois, alors même qu’il pouvait éviter ce dommage tout en ne s’exposant pas lui-même à devoir continuer à travailler dans un emploi qu’il ne pouvait plus assumer en raison de son état de</w:t>
      </w:r>
    </w:p>
    <w:p>
      <w:r>
        <w:t>A/246/2023 - 10/12 - santé, respectivement où il lui appartenait d’assurer son poste jusqu’à l’issue du délai de congé. Dans ces circonstances, le principe de la faute de l’assuré doit donc être confirmé.</w:t>
      </w:r>
    </w:p>
    <w:p>
      <w:r>
        <w:rPr>
          <w:b/>
        </w:rPr>
        <w:t>E. 10</w:t>
      </w:r>
    </w:p>
    <w:p>
      <w:r>
        <w:t>Reste à examiner la question de la quotité et de la proportionnalité de la sanction de suspension des indemnités pendant 25 jours.</w:t>
      </w:r>
    </w:p>
    <w:p>
      <w:r>
        <w:rPr>
          <w:b/>
        </w:rPr>
        <w:t>E. 10.1</w:t>
      </w:r>
    </w:p>
    <w:p>
      <w:r>
        <w:t>Aux termes de l'art. 45 al. 3 de l'ordonnance sur l'assurance-chômage obligatoire et l'indemnité en cas d'insolvabilité du 31 août 1983 (ordonnance sur l’assurance-chômage, OACI - RS 837.02), la suspension dure d’un à quinze jours en cas de faute légère (let. a), de seize à trente jours en cas de faute de gravité moyenne (let. b) et de trente-et-un à soixante jours en cas de faute grave (let. c). Aux termes de l’art. 45 al. 4 let. a OACI, il y a faute grave lorsque, sans motif valable, l’assuré abandonne un emploi réputé convenable sans être assuré d’obtenir un nouvel emploi. Selon l’échelle des sanctions figurant dans le Bulletin LACI IC, ch. D75, 1G, 3, l’assuré qui, au bénéfice d’un certificat médical, résilie son contrat de travail sans respecter le délai de congé et renonce ainsi aux salaires auxquels il aurait droit en vertu de l’art. 324a CO durant le délai de congé contractuel, commet une faute. Celle-ci est qualifiée de légère jusqu’à un mois de prétentions salariales perdues, moyenne jusqu’à deux mois de prétentions salariales perdues, et moyenne à grave lorsqu’il est renoncé à plus de deux mois de prétentions salariales.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 et de l'autre n'est pas limité à la durée minimum de suspension fixée pour les cas de faute grave. Aussi bien l'administration que le juge ont la possibilité d'infliger une sanction moins sévère (RJJ 1999 p. 54 ; DTA 2000 n° 8 p. 42 consid. 2c ; arrêt du Tribunal fédéral des assurances C 160/03 du 18 mai 2006 consid. 2). Le juge ne s'écarte de l'appréciation de l'administration que s'il existe de solides raisons (ATF 123 V 152 consid. 2 ; arrêt du Tribunal fédéral des assurances C 378/00 du 4 septembre 2001 consid. 5a).</w:t>
      </w:r>
    </w:p>
    <w:p>
      <w:r>
        <w:rPr>
          <w:b/>
        </w:rPr>
        <w:t>E. 10.2</w:t>
      </w:r>
    </w:p>
    <w:p>
      <w:r>
        <w:t>L’échelle des sanctions citée supra prévoit que lorsque l’assuré renonce à plus de deux mois de prétentions salariales, la faute doit être considérée de moyenne à grave. C’est donc à juste titre que l’intimée a choisi la fourchette de sanction allant de 16 à 30 jours pour une faute de gravité moyenne.</w:t>
      </w:r>
    </w:p>
    <w:p>
      <w:r>
        <w:t>A/246/2023 - 11/12 - Prenant en compte le fait que la résiliation de contrat était liée à l’état de santé invoqué par l’assuré, l'intimée a fixé la durée de la suspension à 25 jours. Cette sanction est située un peu au-dessus de la médiane entre 16 et 30 jours (soit 23 jours) et a été retenue en tenant compte de l'ensemble des circonstances pertinentes après avoir entendu le recourant ; elle ne prête pas le flanc à la critique.</w:t>
      </w:r>
    </w:p>
    <w:p>
      <w:r>
        <w:rPr>
          <w:b/>
        </w:rPr>
        <w:t>E. 11</w:t>
      </w:r>
    </w:p>
    <w:p>
      <w:r>
        <w:t>La quotité de la sanction prononcée par l’intimée étant proportionnée à la faute commise par le recourant, la décision sera confirmée et le recours rejeté.</w:t>
      </w:r>
    </w:p>
    <w:p>
      <w:r>
        <w:rPr>
          <w:b/>
        </w:rPr>
        <w:t>E. 12</w:t>
      </w:r>
    </w:p>
    <w:p>
      <w:r>
        <w:t>Pour le surplus, la procédure est gratuite (art. 61 let. a LPGA).</w:t>
      </w:r>
    </w:p>
    <w:p>
      <w:r>
        <w:t>A/246/2023 - 12/12 -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