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ATAS/806/2016 vom 11. Oktober 2016</w:t>
      </w:r>
    </w:p>
    <w:p>
      <w:r>
        <w:t>GE Cour de justice, 2016-10-11, FR</w:t>
      </w:r>
    </w:p>
    <w:p>
      <w:r>
        <w:rPr>
          <w:b/>
        </w:rPr>
        <w:t xml:space="preserve">Quelle: </w:t>
      </w:r>
      <w:r>
        <w:t>https://mcp.opencaselaw.ch/entscheid/ge_gerichte_ATAS_806_2016</w:t>
      </w:r>
    </w:p>
    <w:p>
      <w:r>
        <w:t>FR: GE_GERICHTE ATAS/806/2016 du 11 octobre 2016</w:t>
      </w:r>
    </w:p>
    <w:p>
      <w:r>
        <w:t>IT: GE_GERICHTE ATAS/806/2016 del 11 ottobre 2016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(art. 56ss LPGA), le présent recours est recevable.</w:t>
      </w:r>
    </w:p>
    <w:p>
      <w:r>
        <w:rPr>
          <w:b/>
        </w:rPr>
        <w:t>E. 4</w:t>
      </w:r>
    </w:p>
    <w:p>
      <w:r>
        <w:t>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Les conclusions de la recourante se limitant à l’octroi d’une rente, sans remettre en cause la négation du droit à des mesures d’ordre professionnel, seul ce premier point sera examiné dans le cadre de la présente procédure.</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A/3505/2015 - 16/23 -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Il existe différentes méthodes pour évaluer l'invalidité d'un assuré en fonction du statut de ce dernier. 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w:t>
      </w:r>
    </w:p>
    <w:p>
      <w:r>
        <w:t>A/3505/2015 - 17/23 -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b. Aux termes de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en fonction de son incapacité à accomplir ses travaux habituels. Dans ce cas, les parts respectives de l’activité lucrative ou du travail dans l’entreprise du conjoint et de l’accomplissement des travaux habituels doivent être déterminées, et le taux d’invalidité est calculé dans les deux domaines d’activité. C'est la méthode mixte d'évaluation de l'invalidité (arrêt du Tribunal fédéral des assurances I 288/06 du 20 avril 2007 consid. 3.2.5).</w:t>
      </w:r>
    </w:p>
    <w:p>
      <w:r>
        <w:rPr>
          <w:b/>
        </w:rPr>
        <w:t>E. 8</w:t>
      </w:r>
    </w:p>
    <w:p>
      <w:r>
        <w:t>Pour déterminer la méthode applicable au cas particulier, il faut non pas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w:t>
      </w:r>
    </w:p>
    <w:p>
      <w:r>
        <w:rPr>
          <w:b/>
        </w:rPr>
        <w:t>E. 9</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w:t>
      </w:r>
    </w:p>
    <w:p>
      <w:r>
        <w:t>A/3505/2015 - 18/23 -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w:t>
      </w:r>
    </w:p>
    <w:p>
      <w:r>
        <w:t>A/3505/2015 - 19/23 - pour remettre en cause les conclusions de l'expert (arrêt du Tribunal fédéral 9C_405/2008 du 29 septembre 2008 consid. 3.2).</w:t>
      </w:r>
    </w:p>
    <w:p>
      <w:r>
        <w:rPr>
          <w:b/>
        </w:rPr>
        <w:t>E. 10</w:t>
      </w:r>
    </w:p>
    <w:p>
      <w:r>
        <w:t>Il convient en premier lieu de déterminer si la pondération par l’OAI des travaux habituels à 75 % et de la sphère professionnelle à 25 % est conforme au droit. La recourante a toujours travaillé à 25 % en qualité de femme de ménage, hormis la brève période de deux mois de septembre à octobre 2008 où elle a cumulé cet emploi avec celui de femme de chambre. Selon les indications de l’hôtel B______ du 2 juin 2009, son horaire oscillait entre 10 et 15 heures par semaine. Le cumul de ces deux activités représentait certes un taux d’activité de l’ordre de 50 %. Or, la recourante n’a jamais plus recherché d’activité complémentaire par la suite, alors même que son état de santé était compatible avec un horaire de travail de 50 % selon les indications du Dr G______ du 25 novembre 2009. On ne peut ainsi pas considérer que c’est en raison de ses problèmes de santé qu’elle n’a pas cherché à augmenter son taux d’activité. En outre, comme le relève à juste titre l’intimé, la situation familiale de la recourante, et en particulier l’âge de ses enfants, étaient compatibles avec l’exercice d’une activité lucrative à 50 % au moment du dépôt de sa deuxième demande de prestations d’invalidité. Sa situation financière ne s’est pas non plus modifiée depuis sa demande de prestations, ce qui pourrait cas échéant justifier de prendre en compte une hypothétique augmentation de son taux d’activité. En effet, selon les indications de l’intimé, dont la recourante ne conteste pas l’exactitude, l’époux de cette dernière a déposé une demande de rente d’invalidité en 2001 et n’a pas travaillé depuis. Enfin,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1er février 2010 consid. 3.2). Or, la recourante a en l’espèce exposé dans son écriture du 24 août 2011 qu’elle n’avait jamais travaillé à plus de 50 %, invoquant une invalidité prépondérante dans la sphère ménagère. Partant, elle ne peut être suivie lorsqu’elle affirme dans son recours que son taux d’activité professionnelle s’élevait à 75 % et que c’est ce pourcentage d’activité lucrative qui doit être pris en compte. Eu égard à ces éléments, la chambre de céans ne s’écartera pas de la pondération des travaux habituels et de l’activité professionnelle à respectivement 75 % et 25 % à laquelle a procédé l’intimé.</w:t>
      </w:r>
    </w:p>
    <w:p>
      <w:r>
        <w:rPr>
          <w:b/>
        </w:rPr>
        <w:t>E. 11</w:t>
      </w:r>
    </w:p>
    <w:p>
      <w:r>
        <w:t>En ce qui concerne l’évaluation de l’invalidité dans la sphère ménagère, on rappellera qu’une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w:t>
      </w:r>
    </w:p>
    <w:p>
      <w:r>
        <w:t>A/3505/2015 - 20/23 -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En l’espèce, le rapport d’enquête est conforme à ces exigences. La recourante n’émet du reste aucun grief à l’encontre des conclusions de l’enquêtrice. Il n’y a dès lors pas lieu de s’écarter du taux d’empêchement retenu dans les travaux habituels, qui s’élève à 28.3 %.</w:t>
      </w:r>
    </w:p>
    <w:p>
      <w:r>
        <w:rPr>
          <w:b/>
        </w:rPr>
        <w:t>E. 12</w:t>
      </w:r>
    </w:p>
    <w:p>
      <w:r>
        <w:t>En ce qui concerne la capacité de gain, l’intimé a retenu que la recourante était en mesure de mettre en valeur sa capacité de travail résiduelle dans une activité adaptée à 25 %. Selon l’expertise réalisée par le Dr L______ en février 2013, la recourante disposait d’une capacité de travail de 50 % dans une activité adaptée. Cette expertise satisfait en tous points aux réquisits jurisprudentiels cités plus haut, dès lors qu’elle a été établie en connaissance du dossier médical de la recourante, qu’elle contient une anamnèse, tient compte des plaintes de la recourante, et que les diagnostics posés à l’issue de l’examen clinique sont clairs et les conclusions motivées. On ajoutera qu’il n’existe aucun rapport médical justifiant de s’écarter de l’appréciation de l’expert rhumatologue. Le Dr G______ a certes indiqué qu’aucune activité, même adaptée, n’était exigible dans son rapport du 31 mars 2014. Il semble motiver cette incapacité par les problèmes dorsaux. Or, cette atteinte est connue de longue date et ses répercussions sur la capacité de travail ont été prises en compte par le Dr L______ – qui a limité l’exercice d’une activité lucrative à 50 % pour ce motif – ainsi que par la Dresse Q______, laquelle a énuméré les limitations fonctionnelles en lien avec les lombalgies dans son avis du 2 avril 2013. Quant à la Dresse N______, elle a certes considéré qu’une reprise de l’activité en tant que femme de chambre était impossible, mais n’a pas exclu du point de vue orthopédique une activité exercée en position assise. Quant au rapport des HUG d’avril 2016, il ne signale pas non plus de diagnostic que le Dr L______ aurait ignoré puisqu’il évoque des douleurs du genou et une gonarthrose. Ainsi, en l’absence de nouvelle atteinte, il ne se justifie pas de s’écarter des conclusions de l’expert rhumatologue en l’espèce. Quant aux constatations faites lors du stage, elles ne sauraient pas non plus l’emporter sur l’expertise médicale, conformément à la jurisprudence citée, dès lors qu’elles ne s’expliquent pas par des éléments médicaux objectifs. Par</w:t>
      </w:r>
    </w:p>
    <w:p>
      <w:r>
        <w:t>A/3505/2015 - 21/23 - surabondance, si PRO Entreprise sociale privée a exclu une capacité de travail de 50 %, elle ne s’est pas prononcée sur l’exercice d’une activité adaptée à 25 %, qui semble possible puisqu’il a été noté que la recourante pouvait rester assise une bonne partie de la journée de travail. La recourante ne peut pas non plus être suivie en tant qu’elle reproche à l’intimé de ne pas avoir instruit son état de santé. En effet, l’intimé a recueilli des renseignements auprès des divers médecins traitants de la recourante et disposait d’un rapport médical probant du Dr L______. En l’absence de diagnostic nouveau depuis l’établissement de cette expertise, il n’était en particulier pas indispensable de mettre en œuvre un nouvel examen. Quant au fait que l’intimé n’ait pas indiqué quelles activités étaient possibles, il convient d’admettre, au vu des limitations fonctionnelles de la recourante qui correspondent pour l’essentiel à des mesures classiques d’épargne du rachis et exigent la position assise, que le marché du travail offre un éventail suffisamment large d'activités légères, dont un nombre significatif sont adaptées à ses limitations et sont accessibles sans aucune formation particulière (cf. arrêt du Tribunal fédéral 9C_1066/200 du 22 septembre 2010 consid. 4.2). Par conséquent, c’est à juste titre que l’intimé a tenu compte d’une capacité de travail de 25 % dans une activité adaptée.</w:t>
      </w:r>
    </w:p>
    <w:p>
      <w:r>
        <w:rPr>
          <w:b/>
        </w:rPr>
        <w:t>E. 13</w:t>
      </w:r>
    </w:p>
    <w:p>
      <w:r>
        <w:t>Reste à vérifier le calcul de l’intimé sur le degré d’invalidité dans la sphère professionnelle. Ce dernier s’est fondé sur les chiffres ressortant de l’ESS 2012. À ce sujet, il convient de préciser que l’ESS a subi un remaniement, qui a notamment pour conséquence que le niveau 1 constitue désormais le niveau de compétence le plus bas, alors qu’il correspondait auparavant au niveau des qualifications le plus élevé, et le niveau 4 le niveau de compétences le plus élevé, alors qu’il était le niveau des qualifications le plus bas (cf. sur ce point Lettre circulaire AI n° 328). En ce qui concerne le revenu sans invalidité, l’employeur a indiqué que la recourante travaillait 10 heures par semaine. Compte tenu d’un salaire horaire de CHF 18.20, le revenu annuel s’élève à CHF 10'252.- (CHF 9'464.- correspondant à 10 heures multipliées par 52 semaines, montant auquel s’ajoute un 13ème salaire correspondant à 8.33 %, soit CHF 788.35). Le revenu statistique dans les activités de ménage (ESS 2012, TA1_tirage_skill_level, Ligne autres services personnels, niveau 1) pour les femmes étant de CHF 3'610.- par mois en 2012, il s’élève à CHF 45'477.- une fois indexé et adapté à la durée de travail de 41.7 heures en 2013 à 100 %, ce qui correspond à CHF 11'369.- à 25 %. Ce montant est supérieur de 10 % au revenu réalisé par la recourante. Or, le Tribunal fédéral a retenu qu'il y a lieu dans la comparaison des revenus de tenir compte du fait qu'un assuré perçoit un salaire nettement inférieur aux salaires habituels de la branche pour des raisons étrangères à l'invalidité, lorsque les circonstances ne permettent pas de supposer que l'assuré</w:t>
      </w:r>
    </w:p>
    <w:p>
      <w:r>
        <w:t>A/3505/2015 - 22/23 - s'est contenté d'un salaire plus modeste que celui qu'il aurait pu prétendre. Il a précisé que le revenu effectivement réalisé doit être considéré comme nettement inférieur aux salaires habituels de la branche lorsqu'il est inférieur d'au moins 5 % au salaire statistique usuel dans la branche. Ce revenu peut, si les autres conditions sont réalisées, justifier un parallélisme des revenus à comparer, lequel doit porter seulement sur la part qui excède le taux déterminant de 5 % (arrêt du Tribunal fédéral 9C_692/2010 du 31 janvier 2011 consid. 3.2). En application de ce principe, l’intimé a ajouté un montant de CHF 558.- au revenu sans invalidité en l’espèce. La différence entre le revenu réel sans invalidité additionné de 5 % (soit CHF 10'252.- plus CHF 513.-, qui représentent CHF 10'765.- au total) et le revenu statistique de CHF 11'369.- s’élève en réalité à CHF 604.-. C’est ainsi ce montant qui sera additionné au salaire sans invalidité, qui atteint ainsi CHF 10'856.-. En ce qui concerne le revenu avec invalidité, le recours au salaire statistique réalisé dans des activités simples et répétitives est conforme au droit. Ce revenu était en 2012 de CHF 4'112.- (ESS 2012, TA1_tirage_skill_level, Ligne Total, niveau 1), et de CHF 51'801.- une fois indexé et adapté à la durée normale de travail de 41.7 heures en 2013. Compte tenu d’une activité exercée à 25 %, le revenu d’invalide est ainsi de CHF 12'950.-. En opérant un abattement de 15 % sur ce revenu, l’intimé est resté dans les limites de son pouvoir d’appréciation, de sorte que la chambre de céans s’en tiendra à cette réduction. En définitive, le revenu d’invalide est ainsi de CHF 11'008.-. La comparaison avec le revenu sans invalidité de CHF 10'856.- révèle que la recourante ne subit pas de perte de gain dans la sphère professionnelle. Eu égard aux éléments qui précèdent, le degré d’invalidité global de la recourante se détermine comme suit : Domaine Part Empêchement Degré d’invalidité Activité lucrative 25 % 0 % 0 % Ménage 75 % 28.3 % 50 % Invalidité totale</w:t>
      </w:r>
    </w:p>
    <w:p>
      <w:r>
        <w:t>21.2 % Le degré d’invalidité de 21.2 %, arrondi à 21 % selon les règles applicables en mathématiques (ATF 130 V 121 consid. 3.2), n’ouvre pas le droit à une rente. La décision de l’intimé doit partant être confirmée.</w:t>
      </w:r>
    </w:p>
    <w:p>
      <w:r>
        <w:rPr>
          <w:b/>
        </w:rPr>
        <w:t>E. 14</w:t>
      </w:r>
    </w:p>
    <w:p>
      <w:r>
        <w:t>Le recours est rejeté. La recourante, qui succombe, n’a pas droit à des dépens (art. 61 let. g LPGA). La procédure en matière d’assurance-invalidité n'étant pas gratuite (art. 69 al. 1bis LAI), la recourante sera condamné au paiement d’un émolument de CHF 200.-. * * * * * *</w:t>
      </w:r>
    </w:p>
    <w:p>
      <w:r>
        <w:t>A/3505/2015 - 23/23 -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