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ATAS/804/2018 vom 17. September 2018</w:t>
      </w:r>
    </w:p>
    <w:p>
      <w:r>
        <w:t>GE Cour de justice, 2018-09-17, FR</w:t>
      </w:r>
    </w:p>
    <w:p>
      <w:r>
        <w:rPr>
          <w:b/>
        </w:rPr>
        <w:t xml:space="preserve">Quelle: </w:t>
      </w:r>
      <w:r>
        <w:t>https://mcp.opencaselaw.ch/entscheid/ge_gerichte_ATAS_804_2018</w:t>
      </w:r>
    </w:p>
    <w:p>
      <w:r>
        <w:t>FR: GE_GERICHTE ATAS/804/2018 du 17 septembre 2018</w:t>
      </w:r>
    </w:p>
    <w:p>
      <w:r>
        <w:t>IT: GE_GERICHTE ATAS/804/2018 del 17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3</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du recourant à des mesures d’ordre professionnel, subsidiairement à une rente d’invalidité. Concrètement, il convient d’examiner la valeur probante des divers rapports au dossier soumis à la chambre de céans.</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w:t>
      </w:r>
    </w:p>
    <w:p>
      <w:r>
        <w:t>A/164/2017 - 18/27 -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A/164/2017 - 19/27 -</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t>A/164/2017 - 20/27 -</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w:t>
      </w:r>
    </w:p>
    <w:p>
      <w:r>
        <w:t>A/164/2017 - 21/27 - du Tribunal fédéral 9C_518/2007 du 14 juillet 2008 consid. 3.2 et les références citées). A plusieurs reprises, le Tribunal fédéral a considéré, notamment en lien avec des avis du SMR au sens de l’art. 59 al. 2bis LAI, qu’un médecin, quelle que soit sa spécialisation, était en principe en mesure d'émettre un avis sur la cohérence d'un rapport d'un confrère (arrêt du Tribunal fédéral 9C_711/2010 du 18 mai 2011 consid. 4.3, voir également arrêt du Tribunal fédéral 9C_149/2008 du 27 octobre 2008 consid. 3.2).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w:t>
      </w:r>
    </w:p>
    <w:p>
      <w:r>
        <w:t>A/164/2017 - 22/27 - survenus postérieurement doivent cependant être pris en considération dans la mesure où ils sont étroitement liés à l’objet du litige et de nature à influencer l’appréciation au moment où la décision attaquée a été rendue (ATF 99 V 102 et les arrêts cités ; arrêts du Tribunal fédéral des assurances 8C_441/2007 du 6 mai 2008 consid. 4.2 et I 321/04 du 18 juillet 2005 consid.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En l’espèce, par décision du 5 décembre 2016, l’intimé a refusé de mettre le recourant au bénéfice de mesures professionnelles. Il a également refusé d’octroyer une rente d’invalidité. Cette décision se fonde sur l’avis du SMR du 17 octobre 2016, lequel retient, après avoir évoqué l’appréciation du Dr H______ du 27 juin 2016, le rapport de la CRR du 24 mai 2016 ainsi que le rapport du Dr M______ du</w:t>
      </w:r>
    </w:p>
    <w:p>
      <w:r>
        <w:rPr>
          <w:b/>
        </w:rPr>
        <w:t>E. 17</w:t>
      </w:r>
    </w:p>
    <w:p>
      <w:r>
        <w:t>août 2016, une capacité de travail entière dans une activité adaptée.</w:t>
      </w:r>
    </w:p>
    <w:p>
      <w:r>
        <w:t>A/164/2017 - 23/27 - De son côté, le recourant considère que le SMR a procédé à une instruction médicale lacunaire. Se référant aux rapports des Dresse N______ et S______ ainsi que du Dr G______, il requiert préalablement une instruction complémentaire sous la forme d’une expertise pluridisciplinaire. Il convient dès lors d’examiner la valeur probante de ces documents. a. A titre liminaire, il sied de relever que l’avis du SMR du 25 avril 2014 constitue un rapport au sens de l'art. 59 al. 2bis LAI précité et qu’il a pour seule fonction d'opérer la synthèse des renseignements médicaux et de prodiguer des recommandations quant à la suite à donner au dossier. Il ne peut comporter des conclusions nouvelles. En tant qu’il porte une appréciation sur la situation médicale du recourant compte tenu, essentiellement, des conclusions du Dr H______ du 27 juin 2016, du rapport de la CRR du 24 mai 2016 et de celui du Dr M______ du 17 août 2016, il convient d’examiner la valeur probante de ces documents et, cela fait, la cohérence de l’avis du SMR, étant précisé que contrairement à ce qu’allègue le recourant, le fait que le Dr O______ soit praticien et non pas spécialiste ne constitue pas un motif pour reconnaître une valeur probante amoindrie à ses rapports, dès lors que selon le Tribunal fédéral, quelle que soit sa spécialisation, un médecin est en principe en mesure d’émettre un avis sur la cohérence du rapport d’un confrère (voir supra consid. 9b/aa). a/aa. A titre liminaire, la chambre de céans constate que le Dr H______ a établi deux attestations, la première en date du 21 juin 2016 et la seconde le 27 juin 2016. Dans son avis du 17 octobre 2016, le SMR n’a retenu que le second avis, faisant totalement abstraction du premier. L’appréciation du 27 juin 2016 du Dr H______ ne permet pas de se prononcer sur la capacité de travail du recourant dès lors que ce médecin s’est uniquement prononcé sur les atteintes en lien de causalité avec l’accident assuré, faisant totalement abstraction des atteintes préexistantes à la cheville, au pied droit ou au genou droit. a/bb. S’agissant du rapport de la CRR, il remplit sur le plan formel toutes les exigences auxquelles la jurisprudence soumet la valeur probante d'un tel document. Il contient le résumé du dossier, les indications subjectives du recourant, des observations cliniques, ainsi qu’une discussion générale du cas. Les conclusions des médecins, qui résultent d'une analyse complète de la situation médicale, sont claires, bien motivées et convaincantes. Sur le fond, les médecins de la CRR ont retenu les diagnostics de chute le</w:t>
      </w:r>
    </w:p>
    <w:p>
      <w:r>
        <w:rPr>
          <w:b/>
        </w:rPr>
        <w:t>E. 19</w:t>
      </w:r>
    </w:p>
    <w:p>
      <w:r>
        <w:t>novembre 2015 avec contusions multiples (épaule, genou et cheville droite) et traumatisme crânien mineur, sans lésion conséquente, arthrose du médio-pied droit, traumatisme du genou droit avec rupture du ligament croisé antérieur (LCA) traité par plastie (en 2014) et fracture de la jambe droite suite à un accident de la voie publique en 1990, traité par arthrodèse de la cheville droite en 1997. A titre d’antécédents, les médecins de la CRR avaient encore retenu une chute, le</w:t>
      </w:r>
    </w:p>
    <w:p>
      <w:r>
        <w:t>A/164/2017 - 24/27 - 7 octobre 2007, avec des contusions multiples (genou droit, épaule gauche, colonne lombaire) sans lésion conséquente. Les limitations fonctionnelles étaient provisoirement les suivantes : pas de port de charges lourdes, pas de positions contraignantes pour le genou et la cheville (à genoux, accroupi), pas de marche prolongée, pas de marche sur les terrains irréguliers, pas de gestes répétitifs avec le membre supérieur droit ni de travaux au- dessus du plan des scapula. La situation n’était pas stabilisée mais elle devait l’être deux mois plus tard. Le pronostic de réinsertion dans l’activité antérieure était défavorable mais favorable en ce qui concernait une activité adaptée respectant les limitations fonctionnelles. Cela étant, force est toutefois de constater que les médecins de la CRR ne se sont pas prononcés sur la capacité de travail dans une activité adaptée, se limitant à évoquer un pronostic de réinsertion favorable, sans préciser l’importance de la capacité de travail dans une activité adaptée. a/cc. Quant au Dr M______, il se prononce effectivement, dans son rapport du 17 août 2016, sur la capacité de travail de l’assuré dans son activité habituelle, qu’il estime nulle. S’il évoque une capacité de travail dans une activité adaptée, assise, il n’en donne pas le taux. b. Force est donc de constater que les conclusions des médecins de la CRR et du Dr M______ se rejoignent sur la question de l’appréciation de la capacité de travail : nulle dans l’activité habituelle, une activité adaptée étant toutefois exigible. Toutefois, aucun des médecins précités ne s’est expressément prononcé sur l’importance de la capacité de travail dans l’activité adaptée. Vu l’absence de précision, le médecin du SMR a considéré que les médecins précités faisaient référence à une capacité de travail entière. On peut se demander si cette manière de procéder ne revient pas à poser de nouvelles conclusions médicales, ce qui dépasse les compétences revenant au SMR lorsqu’il établit un avis au sens des art. 59 al. 2bis LAI et 49 al. 1 RAI dès lors qu’il ne se limite pas à opérer une synthèse des renseignements médicaux versés au dossier et de prodiguer des recommandations quant à la suite à donner au dossier sur le plan médical. Cette question peut toutefois en l’état rester ouverte, dès lors que la décision querellée doit quoi qu’il en soit être annulée pour d’autres motifs. c/aa. En effet, le 10 mai 2017, en cours de procédure, le recourant a produit un rapport de son psychiatre, la Dresse S______, dont il ressort qu’il était suivi depuis le 25 octobre 2016 en raison d’un état dépressif sévère sans symptômes psychotiques. L’état dépressif évoluait progressivement depuis plusieurs mois en lien avec la mauvaise évolution des problèmes du membre inférieur droit. En mai 2017, la persistance des troubles psychiques était due, notamment, à la présence d’une douleur chronique et à la confrontation à la réalité concernant les pertes et</w:t>
      </w:r>
    </w:p>
    <w:p>
      <w:r>
        <w:t>A/164/2017 - 25/27 - limitations physiques dont il n’arrivait pas à faire le deuil. En mai 2017, la capacité de travail était nulle et ce dans toute activité. Un essai de mobilisation à des fins de réadaptation devait rapidement être effectué. Cela étant, n’étant pas en mesure d’effectuer les démarches par lui-même, le recourant devait bénéficier d’une aide pour trouver une activité adaptée, peu stressante, avec la possibilité de changer de position au besoin et de faire des pauses. Le pronostic dépendant de la possibilité de réintégrer la vie professionnelle ou, le cas échéant, d’une rente d’invalidité validant ses limitations. En d’autres termes, au jour de la décision querellée, le recourant souffrait d’un trouble psychique nécessitant un suivi médical. Or, ce trouble n’a pas été pris en considération lors de l’appréciation de la capacité de travail par le SMR. c/bb. Interrogé en cours de procédure par l’OAI, le SMR a considéré que la Dresse S______ mettait en avant le caractère réactionnel et non durable de l’atteinte psychique, dès lors le pronostic dépendait essentiellement des prestations de l’assurance-invalidité. Le SMR a également contesté l’appréciation du psychiatre précité, étant donné que les limitations évoquées étaient d’ordre non médical ou justifiées par les atteintes somatiques. Se fondant sur cet avis, l’intimé a considéré, dans sa duplique du 6 juin 2017, que le trouble psychique en question était réactionnel étant donné que le pronostic dépendait essentiellement des prestations d’invalidité. En application de la jurisprudence fédérale, l’intimé a donc considéré que ledit trouble pouvait être traité de manière adéquate et qu’aucun handicap psychique ne pouvait en découler. c/cc. La chambre de céans ne saurait suivre le SMR sur ce point. Certes, l’atteinte psychique semble être réactionnelle. Toutefois, la Dresse S______ ne la lie pas principalement voire uniquement au refus de l’OAI de verser une rente mais à la mauvaise évolution des problèmes du membre inférieur droit et au fait que le recourant n’accepte pas ses atteintes et les limitations fonctionnelles qu’elles entraînent. Certes, le pronostic dépend notamment d’une décision positive de l’OAI. Cela est toutefois subsidiaire, le psychiatre traitant associant le pronostic plutôt à la réintégration de la vie professionnelle et, à défaut, au versement d’une rente validant les limitations. Dans de telles circonstances, on ne peut pas retenir de manière aussi péremptoire que le SMR et, partant, l’OAI, que l’atteinte psychique est purement réactionnelle au refus des prestations d’invalidité et qu’elle peut être traitée de manière adéquate (voir l’arrêt du Tribunal fédéral 9C_799/2012 du 16 mai 2013 cité par l’intimé). Dans la mesure où ils sont principalement liés aux atteintes algiques dont souffre le recourant, les troubles psychiques sont susceptibles de constituer une atteinte invalidante (voir l’arrêt 9C_830/2016 du 3 mars 2017). Au demeurant, le fait que le SMR lui-même admette, dès le 24 novembre 2017, le caractère invalidant du trouble psychique plaide dans ce sens.</w:t>
      </w:r>
    </w:p>
    <w:p>
      <w:r>
        <w:t>A/164/2017 - 26/27 - En d’autres termes, dans de telles circonstances, l’OAI ne pouvait rejeter la demande du recourant sur la base d’un simple avis du SMR, ce d’autant moins que ce même service médical a reconnu, en cours de procédure, le caractère incapacitant dudit trouble. 13. Il découle de ce qui précède que la chambre de céans n’est pas en mesure d’apprécier les répercussions des atteintes à la santé et des limitations fonctionnelles sur la capacité de travail du recourant dans une activité adaptée et, par conséquent, de déterminer le degré d’invalidité en résultant. En effet, le dossier soumis à la chambre de céans ne comporte aucune appréciation disposant d’une valeur probante suffisante, se prononçant sur toutes les atteintes du recourant et leur effet sur la capacité de travail, étant rappelé que l’OAI n’a pas pris en considération les troubles psychiques dans la décision querellée. Il convient donc de renvoyer la cause à l’OAI pour instruction complémentaire, étant rappelé que dans la mesure où la décision est annulée, l’instruction devra porter non seulement sur l’aspect psychique mais également sur l’aspect somatique. Dans ce contexte, la chambre de céans invite l’intimée à déterminer la capacité de travail résiduelle dans l’activité adaptée de manière complète et étayée. 14. Au vu de ce qui précède, le recours sera admis et la décision du 5 décembre 2016 sera annulée. Le recourant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w:t>
      </w:r>
    </w:p>
    <w:p>
      <w:r>
        <w:t>A/164/2017 - 27/27 -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