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ATAS/804/2016 vom 11. Oktober 2016</w:t>
      </w:r>
    </w:p>
    <w:p>
      <w:r>
        <w:t>GE Cour de justice, 2016-10-11, FR</w:t>
      </w:r>
    </w:p>
    <w:p>
      <w:r>
        <w:rPr>
          <w:b/>
        </w:rPr>
        <w:t xml:space="preserve">Quelle: </w:t>
      </w:r>
      <w:r>
        <w:t>https://mcp.opencaselaw.ch/entscheid/ge_gerichte_ATAS_804_2016</w:t>
      </w:r>
    </w:p>
    <w:p>
      <w:r>
        <w:t>FR: GE_GERICHTE ATAS/804/2016 du 11 octobre 2016</w:t>
      </w:r>
    </w:p>
    <w:p>
      <w:r>
        <w:t>IT: GE_GERICHTE ATAS/804/2016 del 11 ottobre 2016</w:t>
      </w:r>
    </w:p>
    <w:p>
      <w:pPr>
        <w:pStyle w:val="Heading2"/>
      </w:pPr>
      <w:r>
        <w:t>Erwägungen</w:t>
      </w:r>
    </w:p>
    <w:p>
      <w:r>
        <w:rPr>
          <w:b/>
        </w:rPr>
        <w:t>E. 1</w:t>
      </w:r>
    </w:p>
    <w:p>
      <w:r>
        <w:t>a.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rendue en application de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À teneur de la preuve de la date de notification de la décision attaquée, dont la chambre de céans n’a eu connaissance que le 4 octobre 2016, le présent recours apparaît avoir été déposé tardivement (art. 60 al. 1 LPGA), soit postérieurement à l’échéance du délai de recours, intervenue le mercredi 2 décembre 2015. Toutefois, dans la mesure où cette communication a été faite après que la chambre de céans ait traité le dossier et vu l’issue à donner au recours, plutôt que d’inviter encore le recourant à se déterminer sur cette tardiveté et sur le point de savoir s’il avait à faire valoir, preuve à l’appui, un motif de restitution du délai de recours, la chambre de céans statuera sur le recours « dans la mesure où il est recevable ». Le présent recours satisfait aux exigences, peu élevées, de forme et de contenu prescrites par l’art. 61 let. b LPGA (cf. aussi art. 89B LPA), étant ajouté que, du fait qu’il a été signé aussi par le recourant en personne, il n’y a pas lieu de s’interroger</w:t>
      </w:r>
    </w:p>
    <w:p>
      <w:r>
        <w:t>A/4246/2015 - 9/18 - sur la qualité de mandataire professionnellement qualifié du représentant que le recourant a mandaté (art. 9 et 89A LPA). Touché par la décision attaquée et ayant un intérêt digne de protection à l’annulation ou la modification de cette dernière, l’assuré a qualité pour recourir (art. 59 LPGA). c. Nonobstant ce que peut évoquer un passage du recours, donnant l’impression que le recourant estime avoir droit à des prestations de l’AI – sur le droit auxquelles ni l’intimée ni la chambre de céans (dans le cadre du présent recours) n’ont la compétence de statuer et sur lequel la décision attaquée ne porte aucunement –, il peut être admis que le présent recours conteste la décision de l’intimée, confirmée sur opposition, de mettre un terme au 31 août 2015 à toutes ses prestations, à tout le moins sans que des examens complémentaires approfondis ne soient encore effectués, en particulier une visite chez le médecin conseil de l’intimée. Il est évident que le recours serait irrecevable s’il tendait exclusivement à l’obtention de prestations de l’AI ou dans la mesure où il tendrait à l’obtention de telles prestations. C’est une raison de plus d’entrer en matière sur le recours dans la mesure où il est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4).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w:t>
      </w:r>
    </w:p>
    <w:p>
      <w:r>
        <w:t>A/4246/2015 - 10/18 -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w:t>
      </w:r>
    </w:p>
    <w:p>
      <w:r>
        <w:t>A/4246/2015 - 11/18 -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 ; 115 V 133 consid. 6 et 115 V 403 consid. 5). Il y a lieu d’abord d’opérer une classification des accidents en trois catégories – à savoir les accidents insignifiants ou de peu de gravité (par ex. une chute banale), les accidents de gravité moyenne et les accidents graves (ATF 134 V 109 consid. 10.1 ; 115 V 133 consid. 6) –, et ce sans s’attacher à la manière dont l’assuré a ressenti et assumé le choc traumatique, mais en se fondant, d’un point de vue objectif, sur l’événement accidentel lui-même et les forces générées par celui-ci (ATF 117 V 359 consid. 6a ; arrêt du Tribunal fédéral 8C_890/2012 du 15 novembre 2013 consid. 5.2 et les références). Dans cette perspective, sont réputés accidents de gravité moyenne, les accidents qui ne peuvent être classés ni dans la catégorie des accidents de peu de gravité ni dans celle des accidents graves. Pour admettre le caractère adéquat du lien de causalité entre des accidents de gravité moyenne et des atteintes à la santé sans preuve de déficit organique consécutives, il faut que soient réunis certains critères objectifs, à savoir les circonstances concomitantes particulièrement dramatiques ou le caractère particulièrement impressionnant de l’accident, la gravité ou la nature particulière des lésions,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et l’importance de l’incapacité de travail en dépit des efforts reconnaissables de l’assuré. Tous ces</w:t>
      </w:r>
    </w:p>
    <w:p>
      <w:r>
        <w:t>A/4246/2015 - 12/18 - critères ne doivent pas être réunis pour que la causalité adéquate soit admise ; un seul d’entre eux peut être suffisant, notamment si l’on se trouve à la limite de la catégorie des accidents graves ;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 d. Lorsqu’il y a lien de causalité naturelle et adéquate, l’obligation de prester de l’assureur est établie. Elle cesse cependant lorsque l'accident ne constitue plus la cause naturelle et adéquate du dommage, soit lorsqu’il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 125 V 195 consid. 2 ; RAMA 2000 n. U 363 p. 46). e.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 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w:t>
      </w:r>
    </w:p>
    <w:p>
      <w:r>
        <w:rPr>
          <w:b/>
        </w:rPr>
        <w:t>E. 4</w:t>
      </w:r>
    </w:p>
    <w:p>
      <w:r>
        <w:t>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Sans remettre en cause la liberté d’appréciation revenant à l’administration et, sur recours, au juge (art. 61 let. c in fine LPGA ; art. 20 al. 1 phr. 2 LPA), le</w:t>
      </w:r>
    </w:p>
    <w:p>
      <w:r>
        <w:t>A/4246/2015 - 13/18 -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w:t>
      </w:r>
    </w:p>
    <w:p>
      <w:r>
        <w:t>A/4246/2015 - 14/18 -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5</w:t>
      </w:r>
    </w:p>
    <w:p>
      <w:r>
        <w:t>a. En l’espèce, il n’est pas contesté que le recourant a eu un accident le 31 mai 2014. L’intimée a accepté d’en prendre les conséquences en charge, et elle a versé des prestations consécutivement à cet accident, à savoir a assumé le paiement des frais médicaux et versé des indemnités journalières, jusqu’au 31 août 2015, soit pendant quinze mois. L’intimée a en revanche considéré que, dès le 1er septembre 2015, elle n’a plus de prestations à assumer pour l’accident considéré, parce que, selon elle, il n’y a plus ni frais de traitement ni perte de gain (à ce dernier égard indépendamment du fait que le recourant n’avait plus d’emploi dès le 1er septembre 2015) qui soient imputables audit accident, en termes de causalité naturelle (d’après la décision du 15 septembre 2015) ou, s’agissant de troubles sans substrat organique, de causalité adéquate (selon la décision sur opposition du 29 octobre 2015). b. Du fait que l’échéance du droit aux prestations de l’intimée a été fixée par cette dernière au 31 août 2015, et non à une date antérieure (ainsi que l’évaluation médicale du Dr K______ du 20 août 2015 laisse entendre que cela aurait été possible déjà quelque huit mois après l’accident, soit début février 2015), il se justifie d’accorder un crédit supplémentaire à cette évaluation, en tant qu’elle est rapportée à ladite échéance du 31 août 2015, même si le Dr K______ s’est prononcé sur dossier, sans nouvelle auscultation du recourant. Cela se justifie pour trois raisons. Premièrement, elle n’est pas en contradiction avec les autres avis médicaux figurant au dossier (en particulier sur la question pertinente de l’absence de substrat objectivé des troubles allégués). Deuxièmement, l’écoulement de quelque cinq mois depuis que le Dr J______ avait émis son rapport (le 1er avril 2015) ne pouvait le cas échéant que s’être accompagné d’une amélioration des troubles considérés, dans ce cas où une amélioration quoique lente était unanimement relevée et pronostiquée sans revirement ultérieur à ce propos après janvier 2015. Troisièmement, le Dr K______ disposait, en tant que spécialiste FMH en chirurgie orthopédique, des qualifications requises pour émettre un avis autorisé sur les questions posées par les atteintes considérées ; il a disposé d’un dossier complet, qu’il a dûment étudié ; il a pris en compte les plaintes du recourant (ressortant des pièces du dossier) ; il a discuté les avis des autres médecins s’étant exprimés, en tant que, de façon au demeurant marginale, ils évoquaient respectivement, s’agissant des Drs J______ et F______, une éventuelle atteinte à la membrane interosseuse ou du nerf sciatique, l’avis desdits médecins étant pour le surplus globalement convergents avec son appréciation.</w:t>
      </w:r>
    </w:p>
    <w:p>
      <w:r>
        <w:t>A/4246/2015 - 15/18 - c. Compte tenu de la valeur probante qu’il se justifie d’accorder à l’évaluation médicale du Dr K______ – que sa qualité de médecin conseil de l’intimée n’affaiblit pas –, ainsi que de l’absence de contradictions d’autres médecins sur les questions pertinentes, il n’y a pas lieu d’effectuer un complément d’instruction, que ce soit sous la forme d’une visite du recourant chez le médecin conseil de l’intimée ou/et d’autres examens, voire d’une expertise (administrative ou judiciaire). Une telle appréciation anticipée ne viole ni les art. 43 al. 1 et 61 let. c LPGA sur le devoir d’établir les faits pertinents et la maxime inquisitoire, ni le droit à la preuve tel que le reconnaît l’art. 29 al. 1 de la Constitution fédérale de la Confédération suisse du 18 avril 1999 (RS 101 – Cst. ; SVR 2001 IV n. 10 p. 28 consid. 4b ; ATF 124 V 90 consid. 4b ; 122 V 157 consid. 1d ; ATF 122 II 464 consid. 4a ; ATF 122 III 219 consid. 3c ; arrêt du Tribunal fédéral 9C_6/2016 du 20 septembre 2016 consid. 5.5). Dans la mesure où il serait recevable, le recours n’est pas fondé en tant qu’il conclut à ce qu’un tel complément d’instruction soit ordonné. d. En admettant que le recours tend pour le surplus, quoiqu’implicitement, à l’annulation ou à la modification de la décision attaquée, il sied de préciser que, par la décision sur opposition attaquée, l’intimée a modifié partiellement la motivation de sa première décision. Elle a finalement laissé ouverte la question de savoir s’il y avait un lien de causalité naturelle entre les troubles dont se plaignait le recourant – liés essentiellement à des douleurs au niveau de la jambe et du genou, que celui-ci rattache à l’accident du 31 mai 2014 – et précisément cet évènement-ci. d/aa. À ce propos, il ne ressort pas du dossier et n’est pas allégué que le recourant aurait subi un autre traumatisme, répondant à la définition d’un accident, que l’accident du 31 mai 2014, à savoir une atteinte dommageable, soudaine et involontaire, portée au corps humain par une cause extérieure extraordinaire qui compromet la santé physique, mental ou psychique ou qui entraîne la mort (art. 4 LPGA ; Ghislaine FRÉSARD-FELLAY, L’assurance-accidents, in Ghislaine FRÉSARD-FELLAY / Bettina KAHIL-WOLFF / Stéphanie PERRENOUD, op. cit., n. 50 ss). Un sérieux doute n’en subsiste pas moins que les troubles en question peuvent être imputés à l’accident du 31 mai 2015, et donc doivent relever en principe de l’assurance-maladie. Comme le Dr K______ l’a relevé, ce n’est que six mois après l’accident précité que le recourant a rapporté des douleurs à la jambe et au genou gauches. D’après son médecin traitant, une radiographie complémentaire du genou et de la jambe gauches n’a rien montré d’anormal ni permis d’expliquer lesdites douleurs, probablement liées, selon ledit médecin, à la marche. À part un signal légèrement œdématié du ligament croisé antérieur pouvant évoquer un status après étirement, l’IRM pratiquée le 22 janvier 2015 n’avait montré aucune déchirure ménisco-ligamentaire.</w:t>
      </w:r>
    </w:p>
    <w:p>
      <w:r>
        <w:t>A/4246/2015 - 16/18 - Certes, la physiothérapeute a indiqué, le 30 janvier 2015, que si les tests faits longuement du genou et de la cheville n’avaient rien présenté d’anormal, elle avait néanmoins constaté que l’articulation tibio-fibulaire supérieure restait bloquée, ce qui – estimait-elle – arrivait fréquemment après des entorses de cheville, sans qu’aucun médecin ne reprenne cet avis. Le Dr J______ n’a cependant pas exclu – sans pour autant retenir ne serait-ce qu’au degré de vraisemblance prépondérante – que les douleurs de type lancées irradiant tout le long du péroné gauche aient pu apparaître de façon différée dans le temps, au décours de l’entorse, après avoir passé inaperçues compte tenu de l’intensité des douleurs ressenties au niveau de la cheville. Il a relevé que les tiraillements au niveau de la jambe gauche pouvaient évoquer une potentielle lésion de la membrane interosseuse due au traumatisme, mais que, du fait qu’ils n’étaient présents qu’à l’effort et pas toujours, il ne devait pas y avoir un syndrome de loge chronique de la loge antérieure. Quant à lui, le Dr F______ a subitement fait mention (le 14 juillet 2015), sans du tout motiver cet avis, de troubles ayant évolué sous forme de névralgies douloureuses inconstantes du nerf sciatique poplité externe. Le Dr K______ a toutefois affirmé, en connaissance de ces avis médicaux, que ces troubles douloureux du genou et de la jambe gauches ne pouvaient être mis en relation de causalité naturelle avec une entorse de la cheville n’ayant occasionné aucune lésion structurelle avérée (étant rappelé que l’IRM pratiquée le 26 août 2014 n’avait pas confirmé l’arrachement du talus suspecté lors des constatations initiales). Selon ledit médecin, en l’absence d’une déchirure ligamentaire, tendineuse ou d’une lésion ostéo-articulaire de la cheville, force était de conclure que l’accident ne jouait vraisemblablement plus aucun rôle dans les troubles incapacitants actuels. La chambre de céans retient qu’au degré de la vraisemblance prépondérante requise en matière d’assurances sociales, il n’est pas établi que les troubles douloureux du genou et de la jambe gauches aient tenu à l’accident du 31 mai 2014, qui n’engendrait par ailleurs plus de conséquences au niveau de la cheville gauche, ce au-delà du 31 août 2015. Le recours doit être rejeté pour ce premier motif. d/bb. Au demeurant, quoi qu’il en soit de cette question de causalité naturelle, il faut retenir qu’à tout le moins au-delà du 31 août 2015, les douleurs émises par le recourant – selon ce dernier toujours actuelles au moment du dépôt du recours – n’ont, de façon contestée par aucun médecin, pas de substrat organique objectivé. Selon le Dr F______ (rapport du 13 janvier 2015), une radiographie du genou et de la jambe gauches du recourant n’a rien montré d’anormal qui puisse expliquer les douleurs considérées, vraisemblablement liées à la marche. D’après les tests que la physiothérapeute H______ a dit avoir effectués longuement, le genou et la jambe du recourant ne présentaient rien d’anormal (sinon un certain blocage de l’articulation tibio-tibulaire et des contractures au niveau des muscles fibulaires). Dans ces conditions, ainsi que l’a retenu l’intimée dans la décision sur opposition attaquée, un problème de causalité adéquate se pose, d’abord – mais la question</w:t>
      </w:r>
    </w:p>
    <w:p>
      <w:r>
        <w:t>A/4246/2015 - 17/18 - peut rester ouverte – sur le point de savoir si, objectivement (et non d’après le ressenti que le recourant a eu de l’événement accidentel considéré), ce dernier relève de la catégorie des accidents de peu de gravité ou de gravité moyenne, et en tout état, dans la seconde hypothèse, sur le point de savoir si des critères permettant d’admettre une causalité adéquate liés au déroulement dudit accident sont remplis (en l’occurrence au pluriel, vu que l’accident en question, s’il fallait le ranger dans la catégorie des accidents de gravité moyenne, se situerait à la limite des accidents de peu de gravité). Or, on ne saurait considérer que cet accident s’est accompagné de circonstances particulièrement dramatiques ou a présenté un caractère particulièrement impressionnant, ni qu’il a provoqué des lésions d’une gravité ou d’une nature particulière, ou des douleurs d’une intensité exceptionnelle, ni qu’il a nécessité de façon prolongée un traitement médical spécifique et pénible, ni que des erreurs sont survenues dans le traitement qui auraient entrainé une aggravation notable des séquelles de l’accident, ni que des difficultés particulières ou des complications importantes sont survenues en cours de traitement, ni qu’il a généré une incapacité de travail importante durable. Les conditions d’un rapport de causalité adéquate ne sont donc pas réunies, du moins au-delà du 31 août 2015. Le recours doit être rejeté pour ce second motif.</w:t>
      </w:r>
    </w:p>
    <w:p>
      <w:r>
        <w:rPr>
          <w:b/>
        </w:rPr>
        <w:t>E. 6</w:t>
      </w:r>
    </w:p>
    <w:p>
      <w:r>
        <w:t>Le présent recours est donc entièrement mal fondé, dans la mesure où il serait recevable.</w:t>
      </w:r>
    </w:p>
    <w:p>
      <w:r>
        <w:rPr>
          <w:b/>
        </w:rPr>
        <w:t>E. 7</w:t>
      </w:r>
    </w:p>
    <w:p>
      <w:r>
        <w:t>La procédure est gratuite (art. 60 let. b LPGA). Vu l’issue donnée au recours, il ne sera pas alloué d’indemnité de procédure au recourant (art. 60 let. g LPGA), ni à l’intimée. * * * * * *</w:t>
      </w:r>
    </w:p>
    <w:p>
      <w:r>
        <w:t>A/4246/2015 - 18/18 -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